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after="0" w:line="360" w:lineRule="auto"/>
        <w:ind w:left="3092" w:hanging="3092" w:hangingChars="700"/>
        <w:jc w:val="both"/>
        <w:rPr>
          <w:rFonts w:hint="eastAsia" w:ascii="黑体" w:hAnsi="黑体" w:eastAsia="黑体"/>
          <w:highlight w:val="none"/>
          <w:lang w:eastAsia="zh-CN"/>
        </w:rPr>
      </w:pPr>
      <w:r>
        <w:rPr>
          <w:rFonts w:hint="eastAsia" w:ascii="黑体" w:hAnsi="黑体" w:eastAsia="黑体"/>
          <w:highlight w:val="none"/>
          <w:lang w:val="en-US" w:eastAsia="zh-CN"/>
        </w:rPr>
        <w:t>湖南科技学院“一体化”</w:t>
      </w:r>
      <w:r>
        <w:rPr>
          <w:rFonts w:hint="eastAsia" w:ascii="黑体" w:hAnsi="黑体" w:eastAsia="黑体"/>
          <w:highlight w:val="none"/>
        </w:rPr>
        <w:t>学生</w:t>
      </w:r>
      <w:r>
        <w:rPr>
          <w:rFonts w:hint="eastAsia" w:ascii="黑体" w:hAnsi="黑体" w:eastAsia="黑体"/>
          <w:highlight w:val="none"/>
          <w:lang w:eastAsia="zh-CN"/>
        </w:rPr>
        <w:t>综合</w:t>
      </w:r>
      <w:r>
        <w:rPr>
          <w:rFonts w:hint="eastAsia" w:ascii="黑体" w:hAnsi="黑体" w:eastAsia="黑体"/>
          <w:highlight w:val="none"/>
        </w:rPr>
        <w:t>服务平台</w:t>
      </w:r>
      <w:r>
        <w:rPr>
          <w:rFonts w:hint="eastAsia" w:ascii="黑体" w:hAnsi="黑体" w:eastAsia="黑体"/>
          <w:highlight w:val="none"/>
          <w:lang w:eastAsia="zh-CN"/>
        </w:rPr>
        <w:t>建设方案</w:t>
      </w:r>
      <w:bookmarkStart w:id="8" w:name="_GoBack"/>
      <w:bookmarkEnd w:id="8"/>
    </w:p>
    <w:p>
      <w:pPr>
        <w:pStyle w:val="3"/>
        <w:numPr>
          <w:ilvl w:val="0"/>
          <w:numId w:val="2"/>
        </w:numPr>
        <w:spacing w:line="276" w:lineRule="auto"/>
        <w:rPr>
          <w:sz w:val="32"/>
          <w:szCs w:val="32"/>
          <w:highlight w:val="none"/>
        </w:rPr>
      </w:pPr>
      <w:r>
        <w:rPr>
          <w:rFonts w:hint="eastAsia"/>
          <w:sz w:val="32"/>
          <w:szCs w:val="32"/>
          <w:highlight w:val="none"/>
        </w:rPr>
        <w:t>项目名称</w:t>
      </w:r>
    </w:p>
    <w:p>
      <w:pPr>
        <w:ind w:firstLine="480"/>
        <w:rPr>
          <w:rFonts w:ascii="宋体" w:hAnsi="宋体"/>
          <w:sz w:val="24"/>
          <w:highlight w:val="none"/>
        </w:rPr>
      </w:pPr>
      <w:r>
        <w:rPr>
          <w:rFonts w:hint="eastAsia" w:ascii="宋体" w:hAnsi="宋体"/>
          <w:sz w:val="24"/>
          <w:highlight w:val="none"/>
          <w:lang w:eastAsia="zh-CN"/>
        </w:rPr>
        <w:t>“一体化”</w:t>
      </w:r>
      <w:r>
        <w:rPr>
          <w:rFonts w:hint="eastAsia" w:ascii="宋体" w:hAnsi="宋体"/>
          <w:sz w:val="24"/>
          <w:highlight w:val="none"/>
        </w:rPr>
        <w:t>学生</w:t>
      </w:r>
      <w:r>
        <w:rPr>
          <w:rFonts w:hint="eastAsia" w:ascii="宋体" w:hAnsi="宋体"/>
          <w:sz w:val="24"/>
          <w:highlight w:val="none"/>
          <w:lang w:eastAsia="zh-CN"/>
        </w:rPr>
        <w:t>综合</w:t>
      </w:r>
      <w:r>
        <w:rPr>
          <w:rFonts w:hint="eastAsia" w:ascii="宋体" w:hAnsi="宋体"/>
          <w:sz w:val="24"/>
          <w:highlight w:val="none"/>
        </w:rPr>
        <w:t>服务平台</w:t>
      </w:r>
    </w:p>
    <w:p>
      <w:pPr>
        <w:pStyle w:val="3"/>
        <w:numPr>
          <w:ilvl w:val="0"/>
          <w:numId w:val="2"/>
        </w:numPr>
        <w:spacing w:line="276" w:lineRule="auto"/>
        <w:rPr>
          <w:sz w:val="32"/>
          <w:szCs w:val="32"/>
          <w:highlight w:val="none"/>
        </w:rPr>
      </w:pPr>
      <w:r>
        <w:rPr>
          <w:rFonts w:hint="eastAsia"/>
          <w:sz w:val="32"/>
          <w:szCs w:val="32"/>
          <w:highlight w:val="none"/>
        </w:rPr>
        <w:t>建设目标</w:t>
      </w:r>
    </w:p>
    <w:p>
      <w:pPr>
        <w:spacing w:line="360" w:lineRule="auto"/>
        <w:ind w:firstLine="480" w:firstLineChars="200"/>
        <w:rPr>
          <w:rFonts w:ascii="宋体" w:hAnsi="宋体"/>
          <w:sz w:val="24"/>
          <w:highlight w:val="none"/>
        </w:rPr>
      </w:pPr>
      <w:r>
        <w:rPr>
          <w:rFonts w:hint="eastAsia" w:ascii="宋体" w:hAnsi="宋体"/>
          <w:sz w:val="24"/>
          <w:highlight w:val="none"/>
        </w:rPr>
        <w:t>基于我校学生管理现状，</w:t>
      </w:r>
      <w:r>
        <w:rPr>
          <w:rFonts w:hint="eastAsia" w:ascii="宋体" w:hAnsi="宋体"/>
          <w:sz w:val="24"/>
          <w:highlight w:val="none"/>
          <w:lang w:eastAsia="zh-CN"/>
        </w:rPr>
        <w:t>“一体化”</w:t>
      </w:r>
      <w:r>
        <w:rPr>
          <w:rFonts w:hint="eastAsia" w:ascii="宋体" w:hAnsi="宋体"/>
          <w:sz w:val="24"/>
          <w:highlight w:val="none"/>
        </w:rPr>
        <w:t>学生综合服务平台需以“学生事务”为主线，采用场景闭环、数据驱动、分级管理、组件化部署的设计思路，将先进的办公自动化思想和教育管理理念融入系统建设中，实现从新生入校开始到毕业离校整个大学生活中的奖、惩、助、勤及日常事务</w:t>
      </w:r>
      <w:r>
        <w:rPr>
          <w:rFonts w:hint="eastAsia" w:ascii="宋体" w:hAnsi="宋体"/>
          <w:sz w:val="24"/>
          <w:highlight w:val="none"/>
          <w:lang w:eastAsia="zh-CN"/>
        </w:rPr>
        <w:t>、</w:t>
      </w:r>
      <w:r>
        <w:rPr>
          <w:rFonts w:hint="eastAsia" w:ascii="宋体" w:hAnsi="宋体"/>
          <w:sz w:val="24"/>
          <w:highlight w:val="none"/>
          <w:lang w:val="en-US" w:eastAsia="zh-CN"/>
        </w:rPr>
        <w:t>教育管理</w:t>
      </w:r>
      <w:r>
        <w:rPr>
          <w:rFonts w:hint="eastAsia" w:ascii="宋体" w:hAnsi="宋体"/>
          <w:sz w:val="24"/>
          <w:highlight w:val="none"/>
        </w:rPr>
        <w:t>等相关工作的全流程一体化线上管理。通过日常工作过程中的系统信息化手段，整体上提升效率，细节上凸显便捷，全方位实现学生管理工作的系统化、科学化、规范化和数据化。</w:t>
      </w:r>
    </w:p>
    <w:p>
      <w:pPr>
        <w:pStyle w:val="11"/>
        <w:ind w:firstLine="424" w:firstLineChars="177"/>
        <w:rPr>
          <w:szCs w:val="21"/>
          <w:highlight w:val="none"/>
        </w:rPr>
      </w:pPr>
      <w:r>
        <w:rPr>
          <w:rFonts w:hint="eastAsia" w:ascii="宋体" w:hAnsi="宋体"/>
          <w:highlight w:val="none"/>
        </w:rPr>
        <w:t>本项目建设需充</w:t>
      </w:r>
      <w:r>
        <w:rPr>
          <w:rFonts w:hint="eastAsia"/>
          <w:szCs w:val="21"/>
          <w:highlight w:val="none"/>
        </w:rPr>
        <w:t>分发挥信息化的优势，支持各项学生管理工作的数字化，促进师生协同办公，提高学生管理工作效率。为师生提供人性化、全方位、多层次的服务。提供完善的查询统计、报表制作功能，辅助领导决策。整合并规范学生管理业务，实现全校学生管理模式规范，能够为高校提供对于核心业务的精细化管理能力。平台技术架构需满足学校在不断发展、变革和创新过程中的快速调整或升级功能的需求，轻松应对发展过程中的业务变化，进一步推动高校学生工作全面、协调和可持续发展。</w:t>
      </w:r>
    </w:p>
    <w:p>
      <w:pPr>
        <w:pStyle w:val="11"/>
        <w:ind w:firstLine="424" w:firstLineChars="177"/>
        <w:rPr>
          <w:szCs w:val="21"/>
          <w:highlight w:val="none"/>
        </w:rPr>
      </w:pPr>
      <w:r>
        <w:rPr>
          <w:rFonts w:hint="eastAsia"/>
          <w:szCs w:val="21"/>
          <w:highlight w:val="none"/>
        </w:rPr>
        <w:t>与数字化校园无缝集成，并提供灵活的数据接口，满足历史数据的平滑接入和上级主管部门的各种外部数据需求，同时支持自定义表单收集的过程数据自动推送到学生基本信息表，不断丰富学生基础信息，真正实现高校“学生一张表”的管理要求。</w:t>
      </w:r>
    </w:p>
    <w:p>
      <w:pPr>
        <w:pStyle w:val="3"/>
        <w:numPr>
          <w:ilvl w:val="0"/>
          <w:numId w:val="2"/>
        </w:numPr>
        <w:spacing w:line="276" w:lineRule="auto"/>
        <w:rPr>
          <w:sz w:val="32"/>
          <w:szCs w:val="32"/>
          <w:highlight w:val="none"/>
        </w:rPr>
      </w:pPr>
      <w:r>
        <w:rPr>
          <w:rFonts w:hint="eastAsia"/>
          <w:sz w:val="32"/>
          <w:szCs w:val="32"/>
          <w:highlight w:val="none"/>
        </w:rPr>
        <w:t>总体技术需求</w:t>
      </w:r>
    </w:p>
    <w:p>
      <w:pPr>
        <w:spacing w:line="360" w:lineRule="auto"/>
        <w:ind w:firstLine="420"/>
        <w:rPr>
          <w:rFonts w:ascii="宋体" w:hAnsi="宋体"/>
          <w:sz w:val="24"/>
          <w:highlight w:val="none"/>
        </w:rPr>
      </w:pPr>
      <w:r>
        <w:rPr>
          <w:rFonts w:hint="eastAsia" w:ascii="宋体" w:hAnsi="宋体"/>
          <w:sz w:val="24"/>
          <w:highlight w:val="none"/>
        </w:rPr>
        <w:t>投标人应充分理解技术要求，结合学校实际业务现状编制可落地性强、执行风险性低的解决方案，整体方案设计应围绕“快速见效、降低风险、利用现状、充分展现”的原则进行设计。投标方提供的平台需要求应满足如下总体技术要求：</w:t>
      </w:r>
    </w:p>
    <w:p>
      <w:pPr>
        <w:pStyle w:val="12"/>
        <w:numPr>
          <w:ilvl w:val="0"/>
          <w:numId w:val="3"/>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平台开放性</w:t>
      </w:r>
      <w:r>
        <w:rPr>
          <w:rFonts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rPr>
        <w:t>支持与学校已有业务平台进行数据交换，满足数据交互的功能。系统完全采用模块化的设计框架，模块之间遵循高内聚、低耦合的设计原则，具有灵活方便的添加新模块和变更模块的功能。程序接口和数据接口清晰，便于二次开发，为新功能模块预留接口。</w:t>
      </w:r>
    </w:p>
    <w:p>
      <w:pPr>
        <w:pStyle w:val="12"/>
        <w:numPr>
          <w:ilvl w:val="0"/>
          <w:numId w:val="3"/>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低代码开发</w:t>
      </w:r>
      <w:r>
        <w:rPr>
          <w:rFonts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rPr>
        <w:t>平台支持应用可视化“拖拉拽”、数据可视化的方式满足师生在学生日常管理应用的快速开发、快速应用、快速迭代</w:t>
      </w:r>
      <w:r>
        <w:rPr>
          <w:rFonts w:asciiTheme="minorEastAsia" w:hAnsiTheme="minorEastAsia" w:eastAsiaTheme="minorEastAsia" w:cstheme="minorEastAsia"/>
          <w:sz w:val="24"/>
          <w:highlight w:val="none"/>
        </w:rPr>
        <w:t>。</w:t>
      </w:r>
    </w:p>
    <w:p>
      <w:pPr>
        <w:pStyle w:val="12"/>
        <w:numPr>
          <w:ilvl w:val="0"/>
          <w:numId w:val="3"/>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平台兼容性：服务端支持目前主流操作系统（如Windows、Linux等）;浏览器至少支持3种目前主流浏览器（如Firefox、Chrome、Safari、360极速浏览器、IE</w:t>
      </w:r>
      <w:r>
        <w:rPr>
          <w:rFonts w:asciiTheme="minorEastAsia" w:hAnsiTheme="minorEastAsia" w:eastAsiaTheme="minorEastAsia" w:cstheme="minorEastAsia"/>
          <w:sz w:val="24"/>
          <w:highlight w:val="none"/>
        </w:rPr>
        <w:t>9.0</w:t>
      </w:r>
      <w:r>
        <w:rPr>
          <w:rFonts w:hint="eastAsia" w:asciiTheme="minorEastAsia" w:hAnsiTheme="minorEastAsia" w:eastAsiaTheme="minorEastAsia" w:cstheme="minorEastAsia"/>
          <w:sz w:val="24"/>
          <w:highlight w:val="none"/>
        </w:rPr>
        <w:t>及以上）。</w:t>
      </w:r>
    </w:p>
    <w:p>
      <w:pPr>
        <w:pStyle w:val="12"/>
        <w:numPr>
          <w:ilvl w:val="0"/>
          <w:numId w:val="3"/>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平台性能要求：平台运行支持至少100万级注册用户量。支持50000以上用户同时使用。普通页面响应时间＜1秒，最长不超过2秒。查询页面响应时间＜2秒，最长不超过3秒。</w:t>
      </w:r>
    </w:p>
    <w:p>
      <w:pPr>
        <w:pStyle w:val="12"/>
        <w:numPr>
          <w:ilvl w:val="0"/>
          <w:numId w:val="3"/>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支持多终端统一管理</w:t>
      </w:r>
      <w:r>
        <w:rPr>
          <w:rFonts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rPr>
        <w:t xml:space="preserve"> 支持应用的跨平台发布，为管理员提供集中的页面管理工具。同时支持移动应用在企业微信、微信公众号、微信小程序及移动APP上进行统一管理</w:t>
      </w:r>
      <w:r>
        <w:rPr>
          <w:rFonts w:asciiTheme="minorEastAsia" w:hAnsiTheme="minorEastAsia" w:eastAsiaTheme="minorEastAsia" w:cstheme="minorEastAsia"/>
          <w:sz w:val="24"/>
          <w:highlight w:val="none"/>
        </w:rPr>
        <w:t>。</w:t>
      </w:r>
    </w:p>
    <w:p>
      <w:pPr>
        <w:pStyle w:val="12"/>
        <w:numPr>
          <w:ilvl w:val="0"/>
          <w:numId w:val="3"/>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师生协作空间</w:t>
      </w:r>
      <w:r>
        <w:rPr>
          <w:rFonts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rPr>
        <w:t>平台需</w:t>
      </w:r>
      <w:r>
        <w:rPr>
          <w:rFonts w:asciiTheme="minorEastAsia" w:hAnsiTheme="minorEastAsia" w:eastAsiaTheme="minorEastAsia" w:cstheme="minorEastAsia"/>
          <w:sz w:val="24"/>
          <w:highlight w:val="none"/>
        </w:rPr>
        <w:t>提供</w:t>
      </w:r>
      <w:r>
        <w:rPr>
          <w:rFonts w:hint="eastAsia" w:asciiTheme="minorEastAsia" w:hAnsiTheme="minorEastAsia" w:eastAsiaTheme="minorEastAsia" w:cstheme="minorEastAsia"/>
          <w:sz w:val="24"/>
          <w:highlight w:val="none"/>
        </w:rPr>
        <w:t>统一的师生协作服务空间，包含资源服务、个人应用中心、消息、云盘、笔记</w:t>
      </w:r>
      <w:r>
        <w:rPr>
          <w:rFonts w:asciiTheme="minorEastAsia" w:hAnsiTheme="minorEastAsia" w:eastAsiaTheme="minorEastAsia" w:cstheme="minorEastAsia"/>
          <w:sz w:val="24"/>
          <w:highlight w:val="none"/>
        </w:rPr>
        <w:t>。</w:t>
      </w:r>
    </w:p>
    <w:p>
      <w:pPr>
        <w:pStyle w:val="3"/>
        <w:numPr>
          <w:ilvl w:val="0"/>
          <w:numId w:val="2"/>
        </w:numPr>
        <w:spacing w:line="276" w:lineRule="auto"/>
        <w:rPr>
          <w:sz w:val="32"/>
          <w:szCs w:val="32"/>
          <w:highlight w:val="none"/>
        </w:rPr>
      </w:pPr>
      <w:r>
        <w:rPr>
          <w:rFonts w:hint="eastAsia"/>
          <w:sz w:val="32"/>
          <w:szCs w:val="32"/>
          <w:highlight w:val="none"/>
        </w:rPr>
        <w:t>平台安全性要求</w:t>
      </w:r>
    </w:p>
    <w:p>
      <w:pPr>
        <w:pStyle w:val="12"/>
        <w:numPr>
          <w:ilvl w:val="0"/>
          <w:numId w:val="4"/>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提供安全手段防止非授权用户的非法侵入、攻击，避免操作人员的越级操作。</w:t>
      </w:r>
    </w:p>
    <w:p>
      <w:pPr>
        <w:pStyle w:val="12"/>
        <w:numPr>
          <w:ilvl w:val="0"/>
          <w:numId w:val="4"/>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软件自身具备网页防篡改、防注入式攻击、脚本过滤、防口令猜测、IP地址访问控制等安全措施。</w:t>
      </w:r>
    </w:p>
    <w:p>
      <w:pPr>
        <w:pStyle w:val="12"/>
        <w:numPr>
          <w:ilvl w:val="0"/>
          <w:numId w:val="4"/>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采用分级管理模式，对不同级别用户的操作权限和数据访问范围有严格的限制，系统管理员可以根据学校情况灵活设置安全策略。</w:t>
      </w:r>
    </w:p>
    <w:p>
      <w:pPr>
        <w:pStyle w:val="12"/>
        <w:numPr>
          <w:ilvl w:val="0"/>
          <w:numId w:val="4"/>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具备容灾能力，根据学校网站的特点能够记录系统访问日志及操作日志，备份和恢复系统数据，保证系统安全稳定运行。</w:t>
      </w:r>
    </w:p>
    <w:p>
      <w:pPr>
        <w:pStyle w:val="12"/>
        <w:numPr>
          <w:ilvl w:val="0"/>
          <w:numId w:val="4"/>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对敏感性数据进行加密保存，支持标准主流加密算法，对安全性要求特别高的数据需进行物理隔离。</w:t>
      </w:r>
    </w:p>
    <w:p>
      <w:pPr>
        <w:pStyle w:val="3"/>
        <w:numPr>
          <w:ilvl w:val="0"/>
          <w:numId w:val="2"/>
        </w:numPr>
        <w:spacing w:line="276" w:lineRule="auto"/>
        <w:rPr>
          <w:sz w:val="32"/>
          <w:szCs w:val="32"/>
          <w:highlight w:val="none"/>
        </w:rPr>
      </w:pPr>
      <w:r>
        <w:rPr>
          <w:rFonts w:hint="eastAsia"/>
          <w:sz w:val="32"/>
          <w:szCs w:val="32"/>
          <w:highlight w:val="none"/>
        </w:rPr>
        <w:t>建设内容</w:t>
      </w:r>
      <w:r>
        <w:rPr>
          <w:rFonts w:hint="eastAsia"/>
          <w:sz w:val="32"/>
          <w:szCs w:val="32"/>
          <w:highlight w:val="none"/>
          <w:lang w:eastAsia="zh-CN"/>
        </w:rPr>
        <w:t>需求</w:t>
      </w:r>
    </w:p>
    <w:p>
      <w:pPr>
        <w:pStyle w:val="4"/>
        <w:numPr>
          <w:ilvl w:val="1"/>
          <w:numId w:val="2"/>
        </w:numPr>
        <w:spacing w:line="360" w:lineRule="auto"/>
        <w:rPr>
          <w:sz w:val="24"/>
          <w:szCs w:val="24"/>
          <w:highlight w:val="none"/>
        </w:rPr>
      </w:pPr>
      <w:r>
        <w:rPr>
          <w:rFonts w:hint="eastAsia"/>
          <w:sz w:val="24"/>
          <w:szCs w:val="24"/>
          <w:highlight w:val="none"/>
          <w:lang w:eastAsia="zh-CN"/>
        </w:rPr>
        <w:t>“一体化”</w:t>
      </w:r>
      <w:r>
        <w:rPr>
          <w:rFonts w:hint="eastAsia"/>
          <w:sz w:val="24"/>
          <w:szCs w:val="24"/>
          <w:highlight w:val="none"/>
        </w:rPr>
        <w:t>学生</w:t>
      </w:r>
      <w:r>
        <w:rPr>
          <w:rFonts w:hint="eastAsia"/>
          <w:sz w:val="24"/>
          <w:szCs w:val="24"/>
          <w:highlight w:val="none"/>
          <w:lang w:eastAsia="zh-CN"/>
        </w:rPr>
        <w:t>综合服务</w:t>
      </w:r>
      <w:r>
        <w:rPr>
          <w:rFonts w:hint="eastAsia"/>
          <w:sz w:val="24"/>
          <w:szCs w:val="24"/>
          <w:highlight w:val="none"/>
        </w:rPr>
        <w:t>平台</w:t>
      </w:r>
      <w:r>
        <w:rPr>
          <w:rFonts w:hint="eastAsia"/>
          <w:sz w:val="24"/>
          <w:szCs w:val="24"/>
          <w:highlight w:val="none"/>
          <w:lang w:eastAsia="zh-CN"/>
        </w:rPr>
        <w:t>建设需求清单</w:t>
      </w:r>
    </w:p>
    <w:tbl>
      <w:tblPr>
        <w:tblStyle w:val="9"/>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73"/>
        <w:gridCol w:w="2668"/>
        <w:gridCol w:w="3996"/>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b/>
                <w:szCs w:val="21"/>
                <w:highlight w:val="none"/>
              </w:rPr>
            </w:pPr>
            <w:r>
              <w:rPr>
                <w:rFonts w:hint="eastAsia" w:ascii="宋体" w:hAnsi="宋体" w:cs="宋体"/>
                <w:b/>
                <w:szCs w:val="21"/>
                <w:highlight w:val="none"/>
              </w:rPr>
              <w:t>编号</w:t>
            </w:r>
          </w:p>
        </w:tc>
        <w:tc>
          <w:tcPr>
            <w:tcW w:w="2668" w:type="dxa"/>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b/>
                <w:szCs w:val="21"/>
                <w:highlight w:val="none"/>
              </w:rPr>
            </w:pPr>
            <w:r>
              <w:rPr>
                <w:rFonts w:hint="eastAsia" w:ascii="宋体" w:hAnsi="宋体" w:cs="宋体"/>
                <w:b/>
                <w:szCs w:val="21"/>
                <w:highlight w:val="none"/>
              </w:rPr>
              <w:t>模块名称</w:t>
            </w:r>
          </w:p>
        </w:tc>
        <w:tc>
          <w:tcPr>
            <w:tcW w:w="3996" w:type="dxa"/>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b/>
                <w:szCs w:val="21"/>
                <w:highlight w:val="none"/>
              </w:rPr>
            </w:pPr>
            <w:r>
              <w:rPr>
                <w:rFonts w:hint="eastAsia" w:ascii="宋体" w:hAnsi="宋体" w:cs="宋体"/>
                <w:b/>
                <w:szCs w:val="21"/>
                <w:highlight w:val="none"/>
              </w:rPr>
              <w:t>功能内容</w:t>
            </w:r>
          </w:p>
        </w:tc>
        <w:tc>
          <w:tcPr>
            <w:tcW w:w="1161" w:type="dxa"/>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b/>
                <w:szCs w:val="21"/>
                <w:highlight w:val="none"/>
              </w:rPr>
            </w:pPr>
            <w:r>
              <w:rPr>
                <w:rFonts w:hint="eastAsia" w:ascii="宋体" w:hAnsi="宋体" w:cs="宋体"/>
                <w:b/>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hint="eastAsia" w:ascii="宋体" w:hAnsi="宋体" w:eastAsia="宋体" w:cs="宋体"/>
                <w:szCs w:val="21"/>
                <w:highlight w:val="none"/>
                <w:lang w:eastAsia="zh-CN"/>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迎新工作</w:t>
            </w: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迎新门户搭建</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hint="eastAsia" w:ascii="宋体" w:hAnsi="宋体" w:eastAsia="宋体" w:cs="宋体"/>
                <w:szCs w:val="21"/>
                <w:highlight w:val="none"/>
                <w:lang w:eastAsia="zh-CN"/>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新生信息采集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hint="eastAsia" w:ascii="宋体" w:hAnsi="宋体" w:eastAsia="宋体" w:cs="宋体"/>
                <w:szCs w:val="21"/>
                <w:highlight w:val="none"/>
                <w:lang w:eastAsia="zh-CN"/>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报到行程登记</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新生物品预订</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绿色通道申请</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新生报到单</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人脸识别办理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迎新现场报到</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迎新管理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迎新统计分析</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
                <w:color w:val="000000"/>
                <w:szCs w:val="21"/>
                <w:highlight w:val="none"/>
                <w:lang w:eastAsia="zh-Hans"/>
              </w:rPr>
              <w:t>新生入学教育</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宿舍管理</w:t>
            </w: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rPr>
            </w:pPr>
            <w:r>
              <w:rPr>
                <w:rFonts w:hint="eastAsia" w:ascii="宋体" w:hAnsi="宋体" w:cs="仿宋_GB2312"/>
                <w:kern w:val="0"/>
                <w:szCs w:val="21"/>
                <w:highlight w:val="none"/>
              </w:rPr>
              <w:t>宿舍房源管理</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rPr>
            </w:pPr>
            <w:r>
              <w:rPr>
                <w:rFonts w:hint="eastAsia" w:ascii="宋体" w:hAnsi="宋体" w:cs="仿宋_GB2312"/>
                <w:kern w:val="0"/>
                <w:szCs w:val="21"/>
                <w:highlight w:val="none"/>
              </w:rPr>
              <w:t>房态图</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rPr>
            </w:pPr>
            <w:r>
              <w:rPr>
                <w:rFonts w:hint="eastAsia" w:ascii="宋体" w:hAnsi="宋体" w:cs="仿宋_GB2312"/>
                <w:kern w:val="0"/>
                <w:szCs w:val="21"/>
                <w:highlight w:val="none"/>
              </w:rPr>
              <w:t>宿舍分配</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rPr>
            </w:pPr>
            <w:r>
              <w:rPr>
                <w:rFonts w:hint="eastAsia" w:ascii="宋体" w:hAnsi="宋体" w:cs="仿宋_GB2312"/>
                <w:kern w:val="0"/>
                <w:szCs w:val="21"/>
                <w:highlight w:val="none"/>
              </w:rPr>
              <w:t>宿舍调配</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rPr>
            </w:pPr>
            <w:r>
              <w:rPr>
                <w:rFonts w:hint="eastAsia" w:ascii="宋体" w:hAnsi="宋体" w:cs="仿宋_GB2312"/>
                <w:kern w:val="0"/>
                <w:szCs w:val="21"/>
                <w:highlight w:val="none"/>
              </w:rPr>
              <w:t>宿舍日常管理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rPr>
            </w:pPr>
            <w:r>
              <w:rPr>
                <w:rFonts w:hint="eastAsia" w:ascii="宋体" w:hAnsi="宋体" w:cs="仿宋_GB2312"/>
                <w:kern w:val="0"/>
                <w:szCs w:val="21"/>
                <w:highlight w:val="none"/>
              </w:rPr>
              <w:t>集中宿舍管理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rPr>
            </w:pPr>
            <w:r>
              <w:rPr>
                <w:rFonts w:hint="eastAsia" w:ascii="宋体" w:hAnsi="宋体" w:cs="仿宋_GB2312"/>
                <w:kern w:val="0"/>
                <w:szCs w:val="21"/>
                <w:highlight w:val="none"/>
              </w:rPr>
              <w:t>宿舍卫生检查</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rPr>
            </w:pPr>
            <w:r>
              <w:rPr>
                <w:rFonts w:hint="eastAsia" w:ascii="宋体" w:hAnsi="宋体" w:cs="仿宋_GB2312"/>
                <w:kern w:val="0"/>
                <w:szCs w:val="21"/>
                <w:highlight w:val="none"/>
              </w:rPr>
              <w:t>宿舍违纪</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rPr>
            </w:pPr>
            <w:r>
              <w:rPr>
                <w:rFonts w:hint="eastAsia" w:ascii="宋体" w:hAnsi="宋体" w:cs="仿宋_GB2312"/>
                <w:kern w:val="0"/>
                <w:szCs w:val="21"/>
                <w:highlight w:val="none"/>
              </w:rPr>
              <w:t>宿舍报修</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_GB2312"/>
                <w:kern w:val="0"/>
                <w:szCs w:val="21"/>
                <w:highlight w:val="none"/>
              </w:rPr>
            </w:pPr>
            <w:r>
              <w:rPr>
                <w:rFonts w:hint="eastAsia" w:ascii="宋体" w:hAnsi="宋体" w:cs="仿宋_GB2312"/>
                <w:kern w:val="0"/>
                <w:szCs w:val="21"/>
                <w:highlight w:val="none"/>
              </w:rPr>
              <w:t>门禁系统对接</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_GB2312"/>
                <w:kern w:val="0"/>
                <w:szCs w:val="21"/>
                <w:highlight w:val="none"/>
              </w:rPr>
            </w:pPr>
            <w:r>
              <w:rPr>
                <w:rFonts w:hint="eastAsia" w:ascii="宋体" w:hAnsi="宋体" w:cs="仿宋_GB2312"/>
                <w:kern w:val="0"/>
                <w:szCs w:val="21"/>
                <w:highlight w:val="none"/>
              </w:rPr>
              <w:t>学生进出管理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_GB2312"/>
                <w:kern w:val="0"/>
                <w:szCs w:val="21"/>
                <w:highlight w:val="none"/>
              </w:rPr>
            </w:pPr>
            <w:r>
              <w:rPr>
                <w:rFonts w:hint="eastAsia" w:ascii="宋体" w:hAnsi="宋体" w:cs="仿宋_GB2312"/>
                <w:kern w:val="0"/>
                <w:szCs w:val="21"/>
                <w:highlight w:val="none"/>
              </w:rPr>
              <w:t>宿舍管理人员分配及设置</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_GB2312"/>
                <w:kern w:val="0"/>
                <w:szCs w:val="21"/>
                <w:highlight w:val="none"/>
              </w:rPr>
            </w:pPr>
            <w:r>
              <w:rPr>
                <w:rFonts w:hint="eastAsia" w:ascii="宋体" w:hAnsi="宋体" w:cs="仿宋_GB2312"/>
                <w:kern w:val="0"/>
                <w:szCs w:val="21"/>
                <w:highlight w:val="none"/>
              </w:rPr>
              <w:t>寒暑假放假时间段及学生申请留校时间段设置</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lang w:eastAsia="zh-CN"/>
              </w:rPr>
              <w:t>日常事务</w:t>
            </w:r>
            <w:r>
              <w:rPr>
                <w:rFonts w:hint="eastAsia" w:ascii="宋体" w:hAnsi="宋体" w:cs="宋体"/>
                <w:szCs w:val="21"/>
                <w:highlight w:val="none"/>
              </w:rPr>
              <w:t>管理</w:t>
            </w: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r>
              <w:rPr>
                <w:rFonts w:hint="eastAsia" w:ascii="宋体" w:hAnsi="宋体" w:cs="宋体"/>
                <w:szCs w:val="21"/>
                <w:highlight w:val="none"/>
              </w:rPr>
              <w:t>学生</w:t>
            </w:r>
            <w:r>
              <w:rPr>
                <w:rFonts w:hint="eastAsia" w:ascii="宋体" w:hAnsi="宋体" w:cs="宋体"/>
                <w:szCs w:val="21"/>
                <w:highlight w:val="none"/>
                <w:lang w:val="en-US" w:eastAsia="zh-CN"/>
              </w:rPr>
              <w:t>基础</w:t>
            </w:r>
            <w:r>
              <w:rPr>
                <w:rFonts w:hint="eastAsia" w:ascii="宋体" w:hAnsi="宋体" w:cs="宋体"/>
                <w:szCs w:val="21"/>
                <w:highlight w:val="none"/>
              </w:rPr>
              <w:t>信息管理</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r>
              <w:rPr>
                <w:rFonts w:hint="eastAsia" w:ascii="宋体" w:hAnsi="宋体" w:cs="宋体"/>
                <w:szCs w:val="21"/>
                <w:highlight w:val="none"/>
              </w:rPr>
              <w:t>学生安全</w:t>
            </w:r>
            <w:r>
              <w:rPr>
                <w:rFonts w:hint="eastAsia" w:ascii="宋体" w:hAnsi="宋体" w:cs="宋体"/>
                <w:szCs w:val="21"/>
                <w:highlight w:val="none"/>
                <w:lang w:val="en-US" w:eastAsia="zh-CN"/>
              </w:rPr>
              <w:t>教育</w:t>
            </w:r>
            <w:r>
              <w:rPr>
                <w:rFonts w:hint="eastAsia" w:ascii="宋体" w:hAnsi="宋体" w:cs="宋体"/>
                <w:szCs w:val="21"/>
                <w:highlight w:val="none"/>
              </w:rPr>
              <w:t>管理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离校登记等日常</w:t>
            </w:r>
            <w:r>
              <w:rPr>
                <w:rFonts w:hint="eastAsia" w:ascii="宋体" w:hAnsi="宋体" w:cs="宋体"/>
                <w:szCs w:val="21"/>
                <w:highlight w:val="none"/>
                <w:lang w:eastAsia="zh-CN"/>
              </w:rPr>
              <w:t>管理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eastAsia="zh-CN"/>
              </w:rPr>
              <w:t>综合测评</w:t>
            </w:r>
            <w:r>
              <w:rPr>
                <w:rFonts w:hint="eastAsia" w:ascii="宋体" w:hAnsi="宋体" w:cs="宋体"/>
                <w:szCs w:val="21"/>
                <w:highlight w:val="none"/>
                <w:lang w:val="en-US" w:eastAsia="zh-CN"/>
              </w:rPr>
              <w:t>等奖励系统</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违纪处分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学风系统、学籍预警</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思政教育</w:t>
            </w: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hint="default" w:ascii="宋体" w:hAnsi="宋体" w:eastAsia="宋体"/>
                <w:szCs w:val="21"/>
                <w:highlight w:val="none"/>
                <w:lang w:val="en-US" w:eastAsia="zh-CN"/>
              </w:rPr>
            </w:pPr>
            <w:r>
              <w:rPr>
                <w:rFonts w:hint="eastAsia" w:ascii="宋体" w:hAnsi="宋体"/>
                <w:szCs w:val="21"/>
                <w:highlight w:val="none"/>
                <w:lang w:val="en-US" w:eastAsia="zh-CN"/>
              </w:rPr>
              <w:t>基础教育</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hint="default" w:ascii="宋体" w:hAnsi="宋体" w:eastAsia="宋体"/>
                <w:szCs w:val="21"/>
                <w:highlight w:val="none"/>
                <w:lang w:val="en-US" w:eastAsia="zh-CN"/>
              </w:rPr>
            </w:pPr>
            <w:r>
              <w:rPr>
                <w:rFonts w:hint="eastAsia" w:ascii="宋体" w:hAnsi="宋体"/>
                <w:szCs w:val="21"/>
                <w:highlight w:val="none"/>
                <w:lang w:val="en-US" w:eastAsia="zh-CN"/>
              </w:rPr>
              <w:t>主题教育</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hint="default" w:ascii="宋体" w:hAnsi="宋体" w:eastAsia="宋体"/>
                <w:szCs w:val="21"/>
                <w:highlight w:val="none"/>
                <w:lang w:val="en-US" w:eastAsia="zh-CN"/>
              </w:rPr>
            </w:pPr>
            <w:r>
              <w:rPr>
                <w:rFonts w:hint="eastAsia" w:ascii="宋体" w:hAnsi="宋体"/>
                <w:szCs w:val="21"/>
                <w:highlight w:val="none"/>
              </w:rPr>
              <w:t>思政教育</w:t>
            </w:r>
            <w:r>
              <w:rPr>
                <w:rFonts w:hint="eastAsia" w:ascii="宋体" w:hAnsi="宋体"/>
                <w:szCs w:val="21"/>
                <w:highlight w:val="none"/>
                <w:lang w:val="en-US" w:eastAsia="zh-CN"/>
              </w:rPr>
              <w:t>项目管理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心理健康教育</w:t>
            </w: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lang w:bidi="ar"/>
              </w:rPr>
            </w:pPr>
            <w:r>
              <w:rPr>
                <w:rFonts w:hint="eastAsia" w:ascii="宋体" w:hAnsi="宋体" w:cs="仿宋"/>
                <w:color w:val="000000"/>
                <w:szCs w:val="21"/>
                <w:highlight w:val="none"/>
                <w:lang w:bidi="ar"/>
              </w:rPr>
              <w:t>心理咨询</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lang w:bidi="ar"/>
              </w:rPr>
            </w:pPr>
            <w:r>
              <w:rPr>
                <w:rFonts w:hint="eastAsia" w:ascii="宋体" w:hAnsi="宋体" w:cs="仿宋"/>
                <w:color w:val="000000"/>
                <w:szCs w:val="21"/>
                <w:highlight w:val="none"/>
                <w:lang w:eastAsia="zh-Hans"/>
              </w:rPr>
              <w:t>重点关注学生管理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lang w:eastAsia="zh-Hans"/>
              </w:rPr>
            </w:pPr>
            <w:r>
              <w:rPr>
                <w:rFonts w:hint="eastAsia" w:ascii="宋体" w:hAnsi="宋体" w:cs="仿宋"/>
                <w:color w:val="000000"/>
                <w:szCs w:val="21"/>
                <w:highlight w:val="none"/>
                <w:lang w:eastAsia="zh-Hans"/>
              </w:rPr>
              <w:t>心理晴雨表</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lang w:eastAsia="zh-Hans"/>
              </w:rPr>
            </w:pPr>
            <w:r>
              <w:rPr>
                <w:rFonts w:hint="eastAsia" w:ascii="宋体" w:hAnsi="宋体" w:cs="仿宋"/>
                <w:color w:val="000000"/>
                <w:szCs w:val="21"/>
                <w:highlight w:val="none"/>
              </w:rPr>
              <w:t>心理</w:t>
            </w:r>
            <w:r>
              <w:rPr>
                <w:rFonts w:hint="eastAsia" w:ascii="宋体" w:hAnsi="宋体" w:cs="仿宋"/>
                <w:color w:val="000000"/>
                <w:szCs w:val="21"/>
                <w:highlight w:val="none"/>
                <w:lang w:val="en-US" w:eastAsia="zh-CN"/>
              </w:rPr>
              <w:t>健康</w:t>
            </w:r>
            <w:r>
              <w:rPr>
                <w:rFonts w:hint="eastAsia" w:ascii="宋体" w:hAnsi="宋体" w:cs="仿宋"/>
                <w:color w:val="000000"/>
                <w:szCs w:val="21"/>
                <w:highlight w:val="none"/>
              </w:rPr>
              <w:t>活动</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rPr>
            </w:pPr>
            <w:r>
              <w:rPr>
                <w:rFonts w:hint="eastAsia" w:ascii="宋体" w:hAnsi="宋体" w:cs="仿宋"/>
                <w:color w:val="000000"/>
                <w:szCs w:val="21"/>
                <w:highlight w:val="none"/>
              </w:rPr>
              <w:t>心理普查</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hint="eastAsia" w:ascii="宋体" w:hAnsi="宋体" w:eastAsia="宋体" w:cs="仿宋"/>
                <w:color w:val="000000"/>
                <w:kern w:val="2"/>
                <w:sz w:val="21"/>
                <w:szCs w:val="21"/>
                <w:highlight w:val="none"/>
                <w:lang w:val="en-US" w:eastAsia="zh-CN" w:bidi="ar"/>
              </w:rPr>
            </w:pPr>
            <w:r>
              <w:rPr>
                <w:rFonts w:hint="eastAsia" w:ascii="宋体" w:hAnsi="宋体" w:eastAsia="宋体" w:cs="仿宋"/>
                <w:color w:val="000000"/>
                <w:kern w:val="2"/>
                <w:sz w:val="21"/>
                <w:szCs w:val="21"/>
                <w:highlight w:val="none"/>
                <w:lang w:val="en-US" w:eastAsia="zh-CN" w:bidi="ar"/>
              </w:rPr>
              <w:t>劳动教育</w:t>
            </w: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hint="default" w:ascii="宋体" w:hAnsi="宋体" w:eastAsia="宋体" w:cs="仿宋"/>
                <w:color w:val="000000"/>
                <w:kern w:val="2"/>
                <w:sz w:val="21"/>
                <w:szCs w:val="21"/>
                <w:highlight w:val="none"/>
                <w:lang w:val="en-US" w:eastAsia="zh-CN" w:bidi="ar"/>
              </w:rPr>
            </w:pPr>
            <w:r>
              <w:rPr>
                <w:rFonts w:hint="eastAsia" w:ascii="宋体" w:hAnsi="宋体" w:eastAsia="宋体" w:cs="仿宋"/>
                <w:color w:val="000000"/>
                <w:kern w:val="2"/>
                <w:sz w:val="21"/>
                <w:szCs w:val="21"/>
                <w:highlight w:val="none"/>
                <w:lang w:val="en-US" w:eastAsia="zh-CN" w:bidi="ar"/>
              </w:rPr>
              <w:t>劳动教育活动</w:t>
            </w:r>
            <w:r>
              <w:rPr>
                <w:rFonts w:hint="eastAsia" w:ascii="宋体" w:hAnsi="宋体" w:cs="仿宋"/>
                <w:color w:val="000000"/>
                <w:kern w:val="2"/>
                <w:sz w:val="21"/>
                <w:szCs w:val="21"/>
                <w:highlight w:val="none"/>
                <w:lang w:val="en-US" w:eastAsia="zh-CN" w:bidi="ar"/>
              </w:rPr>
              <w:t>、课程设置</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hint="eastAsia" w:ascii="宋体" w:hAnsi="宋体" w:eastAsia="宋体" w:cs="仿宋"/>
                <w:color w:val="000000"/>
                <w:kern w:val="2"/>
                <w:sz w:val="21"/>
                <w:szCs w:val="21"/>
                <w:highlight w:val="none"/>
                <w:lang w:val="en-US" w:eastAsia="zh-CN" w:bidi="ar"/>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hint="default" w:ascii="宋体" w:hAnsi="宋体" w:eastAsia="宋体" w:cs="仿宋"/>
                <w:color w:val="000000"/>
                <w:kern w:val="2"/>
                <w:sz w:val="21"/>
                <w:szCs w:val="21"/>
                <w:highlight w:val="none"/>
                <w:lang w:val="en-US" w:eastAsia="zh-CN" w:bidi="ar"/>
              </w:rPr>
            </w:pPr>
            <w:r>
              <w:rPr>
                <w:rFonts w:hint="eastAsia" w:ascii="宋体" w:hAnsi="宋体" w:cs="仿宋"/>
                <w:color w:val="000000"/>
                <w:kern w:val="2"/>
                <w:sz w:val="21"/>
                <w:szCs w:val="21"/>
                <w:highlight w:val="none"/>
                <w:lang w:val="en-US" w:eastAsia="zh-CN" w:bidi="ar"/>
              </w:rPr>
              <w:t>学分认定系统</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国防教育</w:t>
            </w: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hint="eastAsia" w:ascii="宋体" w:hAnsi="宋体" w:eastAsia="宋体" w:cs="仿宋"/>
                <w:color w:val="000000"/>
                <w:szCs w:val="21"/>
                <w:highlight w:val="none"/>
                <w:lang w:eastAsia="zh-CN"/>
              </w:rPr>
            </w:pPr>
            <w:r>
              <w:rPr>
                <w:rFonts w:hint="eastAsia" w:ascii="宋体" w:hAnsi="宋体" w:cs="仿宋"/>
                <w:color w:val="000000"/>
                <w:szCs w:val="21"/>
                <w:highlight w:val="none"/>
                <w:lang w:val="en-US" w:eastAsia="zh-CN"/>
              </w:rPr>
              <w:t>军训</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
                <w:color w:val="000000"/>
                <w:szCs w:val="21"/>
                <w:highlight w:val="none"/>
                <w:lang w:eastAsia="zh-Hans"/>
              </w:rPr>
              <w:t>征兵</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hint="default" w:ascii="宋体" w:hAnsi="宋体" w:eastAsia="宋体" w:cs="仿宋"/>
                <w:color w:val="000000"/>
                <w:szCs w:val="21"/>
                <w:highlight w:val="none"/>
                <w:lang w:val="en-US" w:eastAsia="zh-CN"/>
              </w:rPr>
            </w:pPr>
            <w:r>
              <w:rPr>
                <w:rFonts w:hint="eastAsia" w:ascii="宋体" w:hAnsi="宋体" w:cs="仿宋"/>
                <w:color w:val="000000"/>
                <w:szCs w:val="21"/>
                <w:highlight w:val="none"/>
                <w:lang w:val="en-US" w:eastAsia="zh-CN"/>
              </w:rPr>
              <w:t>国防教育</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hint="eastAsia" w:ascii="宋体" w:hAnsi="宋体" w:eastAsia="宋体" w:cs="仿宋"/>
                <w:color w:val="000000"/>
                <w:kern w:val="2"/>
                <w:sz w:val="21"/>
                <w:szCs w:val="21"/>
                <w:highlight w:val="none"/>
                <w:lang w:val="en-US" w:eastAsia="zh-CN" w:bidi="ar-SA"/>
              </w:rPr>
            </w:pPr>
            <w:r>
              <w:rPr>
                <w:rFonts w:hint="eastAsia" w:ascii="宋体" w:hAnsi="宋体" w:eastAsia="宋体" w:cs="仿宋"/>
                <w:color w:val="000000"/>
                <w:kern w:val="2"/>
                <w:sz w:val="21"/>
                <w:szCs w:val="21"/>
                <w:highlight w:val="none"/>
                <w:lang w:val="en-US" w:eastAsia="zh-CN" w:bidi="ar-SA"/>
              </w:rPr>
              <w:t>学生党建</w:t>
            </w: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hint="eastAsia" w:ascii="宋体" w:hAnsi="宋体" w:eastAsia="宋体" w:cs="仿宋"/>
                <w:color w:val="000000"/>
                <w:kern w:val="2"/>
                <w:sz w:val="21"/>
                <w:szCs w:val="21"/>
                <w:highlight w:val="none"/>
                <w:lang w:val="en-US" w:eastAsia="zh-CN" w:bidi="ar-SA"/>
              </w:rPr>
            </w:pPr>
            <w:r>
              <w:rPr>
                <w:rFonts w:hint="eastAsia" w:ascii="宋体" w:hAnsi="宋体" w:eastAsia="宋体" w:cs="仿宋"/>
                <w:color w:val="000000"/>
                <w:kern w:val="2"/>
                <w:sz w:val="21"/>
                <w:szCs w:val="21"/>
                <w:highlight w:val="none"/>
                <w:lang w:val="en-US" w:eastAsia="zh-Hans" w:bidi="ar-SA"/>
              </w:rPr>
              <w:t>党员发展培养</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hint="eastAsia" w:ascii="宋体" w:hAnsi="宋体" w:eastAsia="宋体" w:cs="仿宋"/>
                <w:color w:val="000000"/>
                <w:kern w:val="2"/>
                <w:sz w:val="21"/>
                <w:szCs w:val="21"/>
                <w:highlight w:val="none"/>
                <w:lang w:val="en-US" w:eastAsia="zh-Hans" w:bidi="ar-SA"/>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hint="eastAsia" w:ascii="宋体" w:hAnsi="宋体" w:eastAsia="宋体" w:cs="仿宋"/>
                <w:color w:val="000000"/>
                <w:kern w:val="2"/>
                <w:sz w:val="21"/>
                <w:szCs w:val="21"/>
                <w:highlight w:val="none"/>
                <w:lang w:val="en-US" w:eastAsia="zh-Hans" w:bidi="ar-SA"/>
              </w:rPr>
            </w:pPr>
            <w:r>
              <w:rPr>
                <w:rFonts w:hint="eastAsia" w:ascii="宋体" w:hAnsi="宋体" w:eastAsia="宋体" w:cs="仿宋"/>
                <w:color w:val="000000"/>
                <w:kern w:val="2"/>
                <w:sz w:val="21"/>
                <w:szCs w:val="21"/>
                <w:highlight w:val="none"/>
                <w:lang w:val="en-US" w:eastAsia="zh-Hans" w:bidi="ar-SA"/>
              </w:rPr>
              <w:t>基层党组织建设</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hint="eastAsia" w:ascii="宋体" w:hAnsi="宋体" w:eastAsia="宋体" w:cs="仿宋"/>
                <w:color w:val="000000"/>
                <w:kern w:val="2"/>
                <w:sz w:val="21"/>
                <w:szCs w:val="21"/>
                <w:highlight w:val="none"/>
                <w:lang w:val="en-US" w:eastAsia="zh-Hans" w:bidi="ar-SA"/>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hint="eastAsia" w:ascii="宋体" w:hAnsi="宋体" w:eastAsia="宋体" w:cs="仿宋"/>
                <w:color w:val="000000"/>
                <w:kern w:val="2"/>
                <w:sz w:val="21"/>
                <w:szCs w:val="21"/>
                <w:highlight w:val="none"/>
                <w:lang w:val="en-US" w:eastAsia="zh-Hans" w:bidi="ar-SA"/>
              </w:rPr>
            </w:pPr>
            <w:r>
              <w:rPr>
                <w:rFonts w:hint="eastAsia" w:ascii="宋体" w:hAnsi="宋体" w:eastAsia="宋体" w:cs="仿宋"/>
                <w:color w:val="000000"/>
                <w:kern w:val="2"/>
                <w:sz w:val="21"/>
                <w:szCs w:val="21"/>
                <w:highlight w:val="none"/>
                <w:lang w:val="en-US" w:eastAsia="zh-Hans" w:bidi="ar-SA"/>
              </w:rPr>
              <w:t>党员专项学习教育活动</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学生资助</w:t>
            </w: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ascii="宋体" w:hAnsi="宋体"/>
                <w:szCs w:val="21"/>
                <w:highlight w:val="none"/>
                <w:lang w:eastAsia="zh-Hans"/>
              </w:rPr>
            </w:pPr>
            <w:r>
              <w:rPr>
                <w:rFonts w:hint="eastAsia" w:ascii="宋体" w:hAnsi="宋体"/>
                <w:szCs w:val="21"/>
                <w:highlight w:val="none"/>
                <w:lang w:eastAsia="zh-Hans"/>
              </w:rPr>
              <w:t>困难认定</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ascii="宋体" w:hAnsi="宋体"/>
                <w:szCs w:val="21"/>
                <w:highlight w:val="none"/>
                <w:lang w:eastAsia="zh-Hans"/>
              </w:rPr>
            </w:pPr>
            <w:r>
              <w:rPr>
                <w:rFonts w:hint="eastAsia" w:ascii="宋体" w:hAnsi="宋体"/>
                <w:szCs w:val="21"/>
                <w:highlight w:val="none"/>
                <w:lang w:eastAsia="zh-Hans"/>
              </w:rPr>
              <w:t>奖学金</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ascii="宋体" w:hAnsi="宋体"/>
                <w:szCs w:val="21"/>
                <w:highlight w:val="none"/>
                <w:lang w:eastAsia="zh-Hans"/>
              </w:rPr>
            </w:pPr>
            <w:r>
              <w:rPr>
                <w:rFonts w:hint="eastAsia" w:ascii="宋体" w:hAnsi="宋体"/>
                <w:szCs w:val="21"/>
                <w:highlight w:val="none"/>
                <w:lang w:eastAsia="zh-Hans"/>
              </w:rPr>
              <w:t>助学金</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ascii="宋体" w:hAnsi="宋体"/>
                <w:szCs w:val="21"/>
                <w:highlight w:val="none"/>
                <w:lang w:eastAsia="zh-Hans"/>
              </w:rPr>
            </w:pPr>
            <w:r>
              <w:rPr>
                <w:rFonts w:hint="eastAsia" w:ascii="宋体" w:hAnsi="宋体"/>
                <w:szCs w:val="21"/>
                <w:highlight w:val="none"/>
                <w:lang w:eastAsia="zh-Hans"/>
              </w:rPr>
              <w:t>勤工助学</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ascii="宋体" w:hAnsi="宋体"/>
                <w:szCs w:val="21"/>
                <w:highlight w:val="none"/>
                <w:lang w:eastAsia="zh-Hans"/>
              </w:rPr>
            </w:pPr>
            <w:r>
              <w:rPr>
                <w:rFonts w:hint="eastAsia" w:ascii="宋体" w:hAnsi="宋体"/>
                <w:szCs w:val="21"/>
                <w:highlight w:val="none"/>
                <w:lang w:eastAsia="zh-Hans"/>
              </w:rPr>
              <w:t>困难补助</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ascii="宋体" w:hAnsi="宋体"/>
                <w:szCs w:val="21"/>
                <w:highlight w:val="none"/>
                <w:lang w:eastAsia="zh-Hans"/>
              </w:rPr>
            </w:pPr>
            <w:r>
              <w:rPr>
                <w:rFonts w:hint="eastAsia" w:ascii="宋体" w:hAnsi="宋体"/>
                <w:szCs w:val="21"/>
                <w:highlight w:val="none"/>
                <w:lang w:eastAsia="zh-Hans"/>
              </w:rPr>
              <w:t>生源地信用助学贷款维护</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ascii="宋体" w:hAnsi="宋体"/>
                <w:szCs w:val="21"/>
                <w:highlight w:val="none"/>
                <w:lang w:eastAsia="zh-Hans"/>
              </w:rPr>
            </w:pPr>
            <w:r>
              <w:rPr>
                <w:rFonts w:hint="eastAsia" w:ascii="宋体" w:hAnsi="宋体"/>
                <w:szCs w:val="21"/>
                <w:highlight w:val="none"/>
                <w:lang w:eastAsia="zh-Hans"/>
              </w:rPr>
              <w:t>学费减免管理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ascii="宋体" w:hAnsi="宋体"/>
                <w:szCs w:val="21"/>
                <w:highlight w:val="none"/>
                <w:lang w:eastAsia="zh-Hans"/>
              </w:rPr>
            </w:pPr>
            <w:r>
              <w:rPr>
                <w:rFonts w:hint="eastAsia" w:ascii="宋体" w:hAnsi="宋体"/>
                <w:szCs w:val="21"/>
                <w:highlight w:val="none"/>
                <w:lang w:eastAsia="zh-Hans"/>
              </w:rPr>
              <w:t>社会资助管理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ascii="宋体" w:hAnsi="宋体"/>
                <w:szCs w:val="21"/>
                <w:highlight w:val="none"/>
                <w:lang w:eastAsia="zh-Hans"/>
              </w:rPr>
            </w:pPr>
            <w:r>
              <w:rPr>
                <w:rFonts w:hint="eastAsia" w:ascii="宋体" w:hAnsi="宋体"/>
                <w:szCs w:val="21"/>
                <w:highlight w:val="none"/>
                <w:lang w:eastAsia="zh-Hans"/>
              </w:rPr>
              <w:t>入伍资助</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hint="default" w:ascii="宋体" w:hAnsi="宋体" w:eastAsia="宋体" w:cs="宋体"/>
                <w:szCs w:val="21"/>
                <w:highlight w:val="none"/>
                <w:lang w:val="en-US" w:eastAsia="zh-CN"/>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c>
          <w:tcPr>
            <w:tcW w:w="3996" w:type="dxa"/>
            <w:shd w:val="clear" w:color="auto" w:fill="FFFFFF"/>
            <w:tcMar>
              <w:top w:w="12" w:type="dxa"/>
              <w:left w:w="12" w:type="dxa"/>
              <w:right w:w="12" w:type="dxa"/>
            </w:tcMar>
            <w:vAlign w:val="center"/>
          </w:tcPr>
          <w:p>
            <w:pPr>
              <w:autoSpaceDE w:val="0"/>
              <w:autoSpaceDN w:val="0"/>
              <w:adjustRightInd w:val="0"/>
              <w:spacing w:line="360" w:lineRule="auto"/>
              <w:rPr>
                <w:rFonts w:hint="eastAsia" w:ascii="宋体" w:hAnsi="宋体" w:eastAsia="宋体"/>
                <w:szCs w:val="21"/>
                <w:highlight w:val="none"/>
                <w:lang w:eastAsia="zh-CN"/>
              </w:rPr>
            </w:pPr>
            <w:r>
              <w:rPr>
                <w:rFonts w:hint="eastAsia" w:ascii="宋体" w:hAnsi="宋体"/>
                <w:szCs w:val="21"/>
                <w:highlight w:val="none"/>
                <w:lang w:eastAsia="zh-CN"/>
              </w:rPr>
              <w:t>民族教育</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团学工作</w:t>
            </w: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hint="default" w:ascii="宋体" w:hAnsi="宋体" w:eastAsia="宋体" w:cs="仿宋"/>
                <w:color w:val="000000"/>
                <w:szCs w:val="21"/>
                <w:highlight w:val="none"/>
                <w:lang w:val="en-US" w:eastAsia="zh-CN"/>
              </w:rPr>
            </w:pPr>
            <w:r>
              <w:rPr>
                <w:rFonts w:hint="eastAsia" w:ascii="宋体" w:hAnsi="宋体" w:cs="仿宋"/>
                <w:color w:val="000000"/>
                <w:szCs w:val="21"/>
                <w:highlight w:val="none"/>
                <w:lang w:val="en-US" w:eastAsia="zh-CN"/>
              </w:rPr>
              <w:t>组织管理</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hint="default" w:ascii="宋体" w:hAnsi="宋体" w:eastAsia="宋体" w:cs="仿宋"/>
                <w:color w:val="000000"/>
                <w:kern w:val="2"/>
                <w:sz w:val="21"/>
                <w:szCs w:val="21"/>
                <w:highlight w:val="none"/>
                <w:lang w:val="en-US" w:eastAsia="zh-CN" w:bidi="ar-SA"/>
              </w:rPr>
            </w:pPr>
            <w:r>
              <w:rPr>
                <w:rFonts w:hint="eastAsia" w:ascii="宋体" w:hAnsi="宋体" w:cs="仿宋"/>
                <w:color w:val="000000"/>
                <w:szCs w:val="21"/>
                <w:highlight w:val="none"/>
                <w:lang w:val="en-US" w:eastAsia="zh-CN"/>
              </w:rPr>
              <w:t>团干管理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hint="default" w:ascii="宋体" w:hAnsi="宋体" w:eastAsia="宋体" w:cs="宋体"/>
                <w:szCs w:val="21"/>
                <w:highlight w:val="none"/>
                <w:lang w:val="en-US" w:eastAsia="zh-CN"/>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hint="default" w:ascii="宋体" w:hAnsi="宋体" w:eastAsia="宋体" w:cs="仿宋"/>
                <w:color w:val="000000"/>
                <w:kern w:val="2"/>
                <w:sz w:val="21"/>
                <w:szCs w:val="21"/>
                <w:highlight w:val="none"/>
                <w:lang w:val="en-US" w:eastAsia="zh-CN" w:bidi="ar-SA"/>
              </w:rPr>
            </w:pPr>
            <w:r>
              <w:rPr>
                <w:rFonts w:hint="eastAsia" w:ascii="宋体" w:hAnsi="宋体" w:cs="仿宋"/>
                <w:color w:val="000000"/>
                <w:szCs w:val="21"/>
                <w:highlight w:val="none"/>
                <w:lang w:val="en-US" w:eastAsia="zh-CN"/>
              </w:rPr>
              <w:t>志愿服务</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hint="default" w:ascii="宋体" w:hAnsi="宋体" w:eastAsia="宋体" w:cs="宋体"/>
                <w:szCs w:val="21"/>
                <w:highlight w:val="none"/>
                <w:lang w:val="en-US" w:eastAsia="zh-CN"/>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hint="default" w:ascii="宋体" w:hAnsi="宋体" w:eastAsia="宋体" w:cs="仿宋"/>
                <w:color w:val="000000"/>
                <w:kern w:val="2"/>
                <w:sz w:val="21"/>
                <w:szCs w:val="21"/>
                <w:highlight w:val="none"/>
                <w:lang w:val="en-US" w:eastAsia="zh-CN" w:bidi="ar-SA"/>
              </w:rPr>
            </w:pPr>
            <w:r>
              <w:rPr>
                <w:rFonts w:hint="eastAsia" w:ascii="宋体" w:hAnsi="宋体" w:cs="仿宋"/>
                <w:color w:val="000000"/>
                <w:szCs w:val="21"/>
                <w:highlight w:val="none"/>
                <w:lang w:val="en-US" w:eastAsia="zh-CN"/>
              </w:rPr>
              <w:t>专题活动</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hint="default" w:ascii="宋体" w:hAnsi="宋体" w:eastAsia="宋体" w:cs="宋体"/>
                <w:szCs w:val="21"/>
                <w:highlight w:val="none"/>
                <w:lang w:val="en-US" w:eastAsia="zh-CN"/>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hint="default" w:ascii="宋体" w:hAnsi="宋体" w:eastAsia="宋体" w:cs="仿宋"/>
                <w:color w:val="000000"/>
                <w:kern w:val="2"/>
                <w:sz w:val="21"/>
                <w:szCs w:val="21"/>
                <w:highlight w:val="none"/>
                <w:lang w:val="en-US" w:eastAsia="zh-CN" w:bidi="ar-SA"/>
              </w:rPr>
            </w:pPr>
            <w:r>
              <w:rPr>
                <w:rFonts w:hint="eastAsia" w:ascii="宋体" w:hAnsi="宋体" w:cs="仿宋"/>
                <w:color w:val="000000"/>
                <w:kern w:val="2"/>
                <w:sz w:val="21"/>
                <w:szCs w:val="21"/>
                <w:highlight w:val="none"/>
                <w:lang w:val="en-US" w:eastAsia="zh-CN" w:bidi="ar-SA"/>
              </w:rPr>
              <w:t>其他</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lang w:eastAsia="zh-CN"/>
              </w:rPr>
              <w:t>学工</w:t>
            </w:r>
            <w:r>
              <w:rPr>
                <w:rFonts w:hint="eastAsia" w:ascii="宋体" w:hAnsi="宋体" w:cs="宋体"/>
                <w:szCs w:val="21"/>
                <w:highlight w:val="none"/>
              </w:rPr>
              <w:t>队伍建设</w:t>
            </w: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
                <w:color w:val="000000"/>
                <w:szCs w:val="21"/>
                <w:highlight w:val="none"/>
                <w:lang w:eastAsia="zh-Hans"/>
              </w:rPr>
              <w:t>辅导员</w:t>
            </w:r>
            <w:r>
              <w:rPr>
                <w:rFonts w:hint="eastAsia" w:ascii="宋体" w:hAnsi="宋体" w:cs="仿宋"/>
                <w:color w:val="000000"/>
                <w:szCs w:val="21"/>
                <w:highlight w:val="none"/>
                <w:lang w:val="en-US" w:eastAsia="zh-CN"/>
              </w:rPr>
              <w:t>、班主任</w:t>
            </w:r>
            <w:r>
              <w:rPr>
                <w:rFonts w:hint="eastAsia" w:ascii="宋体" w:hAnsi="宋体" w:cs="仿宋"/>
                <w:color w:val="000000"/>
                <w:szCs w:val="21"/>
                <w:highlight w:val="none"/>
                <w:lang w:eastAsia="zh-Hans"/>
              </w:rPr>
              <w:t>队伍管理</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
                <w:color w:val="000000"/>
                <w:szCs w:val="21"/>
                <w:highlight w:val="none"/>
                <w:lang w:eastAsia="zh-Hans"/>
              </w:rPr>
              <w:t>辅导员教育学院</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hint="default" w:ascii="宋体" w:hAnsi="宋体" w:eastAsia="宋体" w:cs="仿宋"/>
                <w:color w:val="000000"/>
                <w:szCs w:val="21"/>
                <w:highlight w:val="none"/>
                <w:lang w:val="en-US" w:eastAsia="zh-CN"/>
              </w:rPr>
            </w:pPr>
            <w:r>
              <w:rPr>
                <w:rFonts w:hint="eastAsia" w:ascii="宋体" w:hAnsi="宋体" w:cs="仿宋"/>
                <w:color w:val="000000"/>
                <w:szCs w:val="21"/>
                <w:highlight w:val="none"/>
                <w:lang w:eastAsia="zh-Hans"/>
              </w:rPr>
              <w:t>辅导员</w:t>
            </w:r>
            <w:r>
              <w:rPr>
                <w:rFonts w:hint="eastAsia" w:ascii="宋体" w:hAnsi="宋体" w:cs="仿宋"/>
                <w:color w:val="000000"/>
                <w:szCs w:val="21"/>
                <w:highlight w:val="none"/>
                <w:lang w:val="en-US" w:eastAsia="zh-CN"/>
              </w:rPr>
              <w:t>三进</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离校工作</w:t>
            </w: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基础数据管理</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毕业生信息采集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离校环节设置</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办理人员授权</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电子离校单</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_GB2312"/>
                <w:kern w:val="0"/>
                <w:szCs w:val="21"/>
                <w:highlight w:val="none"/>
              </w:rPr>
              <w:t>离校办理</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jc w:val="left"/>
              <w:textAlignment w:val="center"/>
              <w:rPr>
                <w:rFonts w:ascii="宋体" w:hAnsi="宋体" w:cs="仿宋"/>
                <w:color w:val="000000"/>
                <w:szCs w:val="21"/>
                <w:highlight w:val="none"/>
                <w:lang w:eastAsia="zh-Hans"/>
              </w:rPr>
            </w:pPr>
            <w:r>
              <w:rPr>
                <w:rFonts w:hint="eastAsia" w:ascii="宋体" w:hAnsi="宋体" w:cs="仿宋"/>
                <w:color w:val="000000"/>
                <w:szCs w:val="21"/>
                <w:highlight w:val="none"/>
                <w:lang w:eastAsia="zh-Hans"/>
              </w:rPr>
              <w:t>离校统计</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疫情防控</w:t>
            </w: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_GB2312"/>
                <w:kern w:val="0"/>
                <w:szCs w:val="21"/>
                <w:highlight w:val="none"/>
              </w:rPr>
            </w:pPr>
            <w:r>
              <w:rPr>
                <w:rFonts w:hint="eastAsia" w:ascii="宋体" w:hAnsi="宋体" w:cs="仿宋_GB2312"/>
                <w:kern w:val="0"/>
                <w:szCs w:val="21"/>
                <w:highlight w:val="none"/>
              </w:rPr>
              <w:t>学生健康信息上报</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_GB2312"/>
                <w:kern w:val="0"/>
                <w:szCs w:val="21"/>
                <w:highlight w:val="none"/>
              </w:rPr>
            </w:pPr>
            <w:r>
              <w:rPr>
                <w:rFonts w:hint="eastAsia" w:ascii="宋体" w:hAnsi="宋体" w:cs="仿宋_GB2312"/>
                <w:kern w:val="0"/>
                <w:szCs w:val="21"/>
                <w:highlight w:val="none"/>
              </w:rPr>
              <w:t>核酸检测</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_GB2312"/>
                <w:kern w:val="0"/>
                <w:szCs w:val="21"/>
                <w:highlight w:val="none"/>
              </w:rPr>
            </w:pPr>
            <w:r>
              <w:rPr>
                <w:rFonts w:hint="eastAsia" w:ascii="宋体" w:hAnsi="宋体" w:cs="仿宋_GB2312"/>
                <w:kern w:val="0"/>
                <w:szCs w:val="21"/>
                <w:highlight w:val="none"/>
                <w:lang w:eastAsia="zh-Hans"/>
              </w:rPr>
              <w:t>疫情</w:t>
            </w:r>
            <w:r>
              <w:rPr>
                <w:rFonts w:hint="eastAsia" w:ascii="宋体" w:hAnsi="宋体" w:cs="仿宋_GB2312"/>
                <w:kern w:val="0"/>
                <w:szCs w:val="21"/>
                <w:highlight w:val="none"/>
                <w:lang w:val="en-US" w:eastAsia="zh-CN"/>
              </w:rPr>
              <w:t>信息异常学生管控</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ascii="宋体" w:hAnsi="宋体" w:cs="宋体"/>
                <w:szCs w:val="21"/>
                <w:highlight w:val="none"/>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_GB2312"/>
                <w:kern w:val="0"/>
                <w:szCs w:val="21"/>
                <w:highlight w:val="none"/>
                <w:lang w:eastAsia="zh-Hans"/>
              </w:rPr>
            </w:pPr>
            <w:r>
              <w:rPr>
                <w:rFonts w:hint="eastAsia" w:ascii="宋体" w:hAnsi="宋体" w:cs="仿宋_GB2312"/>
                <w:kern w:val="0"/>
                <w:szCs w:val="21"/>
                <w:highlight w:val="none"/>
                <w:lang w:eastAsia="zh-Hans"/>
              </w:rPr>
              <w:t>常态化疫情防控期间学生外出审批</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hint="eastAsia" w:ascii="宋体" w:hAnsi="宋体" w:eastAsia="宋体" w:cs="宋体"/>
                <w:szCs w:val="21"/>
                <w:highlight w:val="none"/>
                <w:lang w:eastAsia="zh-CN"/>
              </w:rPr>
            </w:pPr>
          </w:p>
        </w:tc>
        <w:tc>
          <w:tcPr>
            <w:tcW w:w="2668"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日常管理应用快搭服务</w:t>
            </w: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rPr>
            </w:pPr>
            <w:r>
              <w:rPr>
                <w:rFonts w:hint="eastAsia" w:ascii="宋体" w:hAnsi="宋体" w:cs="仿宋"/>
                <w:color w:val="000000"/>
                <w:szCs w:val="21"/>
                <w:highlight w:val="none"/>
              </w:rPr>
              <w:t>应用快速搭建</w:t>
            </w:r>
          </w:p>
        </w:tc>
        <w:tc>
          <w:tcPr>
            <w:tcW w:w="1161" w:type="dxa"/>
            <w:vMerge w:val="restart"/>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73" w:type="dxa"/>
            <w:shd w:val="clear" w:color="auto" w:fill="FFFFFF"/>
            <w:tcMar>
              <w:top w:w="12" w:type="dxa"/>
              <w:left w:w="12" w:type="dxa"/>
              <w:right w:w="12" w:type="dxa"/>
            </w:tcMar>
            <w:vAlign w:val="center"/>
          </w:tcPr>
          <w:p>
            <w:pPr>
              <w:numPr>
                <w:ilvl w:val="0"/>
                <w:numId w:val="5"/>
              </w:numPr>
              <w:autoSpaceDE w:val="0"/>
              <w:autoSpaceDN w:val="0"/>
              <w:adjustRightInd w:val="0"/>
              <w:spacing w:line="360" w:lineRule="auto"/>
              <w:ind w:left="425" w:leftChars="0" w:hanging="425" w:firstLineChars="0"/>
              <w:jc w:val="center"/>
              <w:rPr>
                <w:rFonts w:hint="eastAsia" w:ascii="宋体" w:hAnsi="宋体" w:eastAsia="宋体" w:cs="宋体"/>
                <w:szCs w:val="21"/>
                <w:highlight w:val="none"/>
                <w:lang w:eastAsia="zh-CN"/>
              </w:rPr>
            </w:pPr>
          </w:p>
        </w:tc>
        <w:tc>
          <w:tcPr>
            <w:tcW w:w="2668"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c>
          <w:tcPr>
            <w:tcW w:w="3996" w:type="dxa"/>
            <w:shd w:val="clear" w:color="auto" w:fill="FFFFFF"/>
            <w:tcMar>
              <w:top w:w="12" w:type="dxa"/>
              <w:left w:w="12" w:type="dxa"/>
              <w:right w:w="12" w:type="dxa"/>
            </w:tcMar>
            <w:vAlign w:val="center"/>
          </w:tcPr>
          <w:p>
            <w:pPr>
              <w:pStyle w:val="13"/>
              <w:widowControl/>
              <w:ind w:firstLine="0" w:firstLineChars="0"/>
              <w:textAlignment w:val="center"/>
              <w:rPr>
                <w:rFonts w:ascii="宋体" w:hAnsi="宋体" w:cs="仿宋"/>
                <w:color w:val="000000"/>
                <w:szCs w:val="21"/>
                <w:highlight w:val="none"/>
              </w:rPr>
            </w:pPr>
            <w:r>
              <w:rPr>
                <w:rFonts w:hint="eastAsia" w:ascii="宋体" w:hAnsi="宋体" w:cs="仿宋"/>
                <w:color w:val="000000"/>
                <w:szCs w:val="21"/>
                <w:highlight w:val="none"/>
              </w:rPr>
              <w:t>业务后台配置</w:t>
            </w:r>
          </w:p>
        </w:tc>
        <w:tc>
          <w:tcPr>
            <w:tcW w:w="1161" w:type="dxa"/>
            <w:vMerge w:val="continue"/>
            <w:shd w:val="clear" w:color="auto" w:fill="FFFFFF"/>
            <w:tcMar>
              <w:top w:w="12" w:type="dxa"/>
              <w:left w:w="12" w:type="dxa"/>
              <w:right w:w="12" w:type="dxa"/>
            </w:tcMar>
            <w:vAlign w:val="center"/>
          </w:tcPr>
          <w:p>
            <w:pPr>
              <w:autoSpaceDE w:val="0"/>
              <w:autoSpaceDN w:val="0"/>
              <w:adjustRightInd w:val="0"/>
              <w:spacing w:line="360" w:lineRule="auto"/>
              <w:jc w:val="center"/>
              <w:rPr>
                <w:rFonts w:ascii="宋体" w:hAnsi="宋体" w:cs="宋体"/>
                <w:szCs w:val="21"/>
                <w:highlight w:val="none"/>
              </w:rPr>
            </w:pPr>
          </w:p>
        </w:tc>
      </w:tr>
    </w:tbl>
    <w:p>
      <w:pPr>
        <w:pStyle w:val="4"/>
        <w:numPr>
          <w:ilvl w:val="2"/>
          <w:numId w:val="2"/>
        </w:numPr>
        <w:spacing w:line="360" w:lineRule="auto"/>
        <w:rPr>
          <w:sz w:val="24"/>
          <w:szCs w:val="24"/>
          <w:highlight w:val="none"/>
          <w:lang w:val="en-US"/>
        </w:rPr>
      </w:pPr>
      <w:bookmarkStart w:id="0" w:name="_Toc1164509522"/>
      <w:bookmarkStart w:id="1" w:name="_Toc23927082"/>
      <w:bookmarkStart w:id="2" w:name="_Toc802865380"/>
      <w:bookmarkStart w:id="3" w:name="_Toc21961486"/>
      <w:bookmarkStart w:id="4" w:name="_Toc73831815"/>
      <w:bookmarkStart w:id="5" w:name="_Toc850250995"/>
      <w:bookmarkStart w:id="6" w:name="_Toc146662063"/>
      <w:bookmarkStart w:id="7" w:name="_Toc1471069526"/>
      <w:r>
        <w:rPr>
          <w:rFonts w:hint="eastAsia"/>
          <w:sz w:val="24"/>
          <w:szCs w:val="24"/>
          <w:highlight w:val="none"/>
          <w:lang w:val="en-US"/>
        </w:rPr>
        <w:t>迎新</w:t>
      </w:r>
      <w:bookmarkEnd w:id="0"/>
      <w:bookmarkEnd w:id="1"/>
      <w:bookmarkEnd w:id="2"/>
      <w:bookmarkEnd w:id="3"/>
      <w:bookmarkEnd w:id="4"/>
      <w:bookmarkEnd w:id="5"/>
      <w:bookmarkEnd w:id="6"/>
      <w:bookmarkEnd w:id="7"/>
      <w:r>
        <w:rPr>
          <w:rFonts w:hint="eastAsia"/>
          <w:sz w:val="24"/>
          <w:szCs w:val="24"/>
          <w:highlight w:val="none"/>
          <w:lang w:val="en-US"/>
        </w:rPr>
        <w:t>管理</w:t>
      </w:r>
    </w:p>
    <w:p>
      <w:pPr>
        <w:spacing w:line="360" w:lineRule="auto"/>
        <w:ind w:firstLine="420"/>
        <w:rPr>
          <w:sz w:val="24"/>
          <w:highlight w:val="none"/>
        </w:rPr>
      </w:pPr>
      <w:r>
        <w:rPr>
          <w:rFonts w:hint="eastAsia"/>
          <w:sz w:val="24"/>
          <w:highlight w:val="none"/>
        </w:rPr>
        <w:t>迎新作为学校入校的首要环节，是每年学校需要重点保障的服务模块，旨在达到避免迎新现场拥堵现象出现，缩短报名时间，提高办事效率。提供新生报到地图，帮助及指导学生注册报到。提高迎新管理服务水平，迎新进展实施监控，提供高效、快捷的统计功能。</w:t>
      </w:r>
    </w:p>
    <w:p>
      <w:pPr>
        <w:numPr>
          <w:ilvl w:val="0"/>
          <w:numId w:val="6"/>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迎新专题门户，可支持搭建专属迎新门户，实现迎新事项的动态发布和通知。门户展现内容可由学校自主在线可视化“拖拉拽”设计，如：学校概况、迎新公告、新生导航、常见问题等。支持PC端、移动端两套迎新门户独立设计。</w:t>
      </w:r>
    </w:p>
    <w:p>
      <w:pPr>
        <w:numPr>
          <w:ilvl w:val="0"/>
          <w:numId w:val="6"/>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新生信息采集，对新生进行个人信息采集，采集内容包括学生个人基本信息、个人照片、通讯信息、家庭信息和家庭成员情况、家庭经济情况等信息。可基于学校个性化需求调整采集字段，后台可自定义选择导出字段。</w:t>
      </w:r>
    </w:p>
    <w:p>
      <w:pPr>
        <w:numPr>
          <w:ilvl w:val="0"/>
          <w:numId w:val="6"/>
        </w:numPr>
        <w:spacing w:line="360" w:lineRule="auto"/>
        <w:rPr>
          <w:sz w:val="24"/>
          <w:highlight w:val="none"/>
        </w:rPr>
      </w:pPr>
      <w:r>
        <w:rPr>
          <w:rFonts w:hint="eastAsia"/>
          <w:sz w:val="24"/>
          <w:highlight w:val="none"/>
        </w:rPr>
        <w:t>报到行程登记，录入学生预报到信息，填写到站的地点等。可供学院统计每日个站点人数，派迎新车辆。暂缓到校申请，包含晚报到的时间、地点、原因。</w:t>
      </w:r>
    </w:p>
    <w:p>
      <w:pPr>
        <w:numPr>
          <w:ilvl w:val="0"/>
          <w:numId w:val="6"/>
        </w:numPr>
        <w:spacing w:line="360" w:lineRule="auto"/>
        <w:rPr>
          <w:sz w:val="24"/>
          <w:highlight w:val="none"/>
        </w:rPr>
      </w:pPr>
      <w:r>
        <w:rPr>
          <w:rFonts w:hint="eastAsia"/>
          <w:sz w:val="24"/>
          <w:highlight w:val="none"/>
        </w:rPr>
        <w:t>新生物品预订，新生在到校前可在应用中预订各类生活日常用品及军训服装尺码，提交后学生可查询自己的预订记录。</w:t>
      </w:r>
    </w:p>
    <w:p>
      <w:pPr>
        <w:numPr>
          <w:ilvl w:val="0"/>
          <w:numId w:val="6"/>
        </w:numPr>
        <w:spacing w:line="360" w:lineRule="auto"/>
        <w:rPr>
          <w:sz w:val="24"/>
          <w:highlight w:val="none"/>
        </w:rPr>
      </w:pPr>
      <w:r>
        <w:rPr>
          <w:rFonts w:hint="eastAsia"/>
          <w:sz w:val="24"/>
          <w:highlight w:val="none"/>
        </w:rPr>
        <w:t>绿色通道申请，为新生提供线上提报绿色通道申请功能，保障家庭条件困难的学生能够正常完成入校报到，学生可在线填报申请，支持手写签名。</w:t>
      </w:r>
    </w:p>
    <w:p>
      <w:pPr>
        <w:numPr>
          <w:ilvl w:val="0"/>
          <w:numId w:val="6"/>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新生报到单，新生在预报到必要环节完成后可生成电子报到单，清晰的展现迎新需办理的各项事务已经当前办理情况，如是否已缴费、基本信息是否采集等。如未办理，可点击事项跳转至对应应用进行在线办理。</w:t>
      </w:r>
    </w:p>
    <w:p>
      <w:pPr>
        <w:numPr>
          <w:ilvl w:val="0"/>
          <w:numId w:val="6"/>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人脸识别办理：对学生人脸拍照上传，将学生照片与学籍库照片进行比对，人脸识别成功，则开始进行报到流程办理。</w:t>
      </w:r>
    </w:p>
    <w:p>
      <w:pPr>
        <w:numPr>
          <w:ilvl w:val="0"/>
          <w:numId w:val="6"/>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迎新现场报道，负责老师在现场可通过手机扫描二维码定位到当前学生，从而进行现场事项的办理及确认。同时支持离线办理，现场办理人员可将学生的办理信息记录到本机的Excel文件中，待网络恢复后导入系统。</w:t>
      </w:r>
    </w:p>
    <w:p>
      <w:pPr>
        <w:numPr>
          <w:ilvl w:val="0"/>
          <w:numId w:val="6"/>
        </w:numPr>
        <w:spacing w:line="360" w:lineRule="auto"/>
        <w:rPr>
          <w:sz w:val="24"/>
          <w:highlight w:val="none"/>
        </w:rPr>
      </w:pPr>
      <w:r>
        <w:rPr>
          <w:rFonts w:hint="eastAsia"/>
          <w:sz w:val="24"/>
          <w:highlight w:val="none"/>
        </w:rPr>
        <w:t>迎新管理，设置迎新批次、办理环节、人员权限、登录账号类型。办理环节设置可根据学校不同类型学生或不同迎新时间灵活配置相对应的流程满足个性化迎新，支持与第三方缴费平台进行数据对接和集成，实现学生在迎新服务进行迎新缴费和查看缴费详情等功能。</w:t>
      </w:r>
    </w:p>
    <w:p>
      <w:pPr>
        <w:numPr>
          <w:ilvl w:val="0"/>
          <w:numId w:val="6"/>
        </w:numPr>
        <w:spacing w:line="360" w:lineRule="auto"/>
        <w:rPr>
          <w:sz w:val="24"/>
          <w:highlight w:val="none"/>
        </w:rPr>
      </w:pPr>
      <w:r>
        <w:rPr>
          <w:rFonts w:hint="eastAsia"/>
          <w:sz w:val="24"/>
          <w:highlight w:val="none"/>
        </w:rPr>
        <w:t>迎新统计分析，提供多维度的统计查询，包括全校统计、院系统计、专业统计、生源地统计、民族统计、环节统计、校区统计等，同时管理人员可对统计结果进行数据钻取以查看详细信息，并可在线导出和打印。支持PC端及移动端两套独立的统计页面，方便迎新办理工具人员进行实时查询。</w:t>
      </w:r>
    </w:p>
    <w:p>
      <w:pPr>
        <w:numPr>
          <w:ilvl w:val="0"/>
          <w:numId w:val="6"/>
        </w:numPr>
        <w:spacing w:line="360" w:lineRule="auto"/>
        <w:rPr>
          <w:sz w:val="24"/>
          <w:highlight w:val="none"/>
        </w:rPr>
      </w:pPr>
      <w:r>
        <w:rPr>
          <w:rFonts w:hint="eastAsia"/>
          <w:sz w:val="24"/>
          <w:highlight w:val="none"/>
        </w:rPr>
        <w:t>迎新数据大屏，通过BI工具实时生成数据看板，支持外部大屏投放，同时支持数据维度自定义设置。</w:t>
      </w:r>
    </w:p>
    <w:p>
      <w:pPr>
        <w:numPr>
          <w:ilvl w:val="0"/>
          <w:numId w:val="6"/>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新生入学教育，系统自带5</w:t>
      </w:r>
      <w:r>
        <w:rPr>
          <w:sz w:val="24"/>
          <w:highlight w:val="none"/>
        </w:rPr>
        <w:t>0</w:t>
      </w:r>
      <w:r>
        <w:rPr>
          <w:rFonts w:hint="eastAsia"/>
          <w:sz w:val="24"/>
          <w:highlight w:val="none"/>
        </w:rPr>
        <w:t>门以上入学教育课程，学校也可自主上传课程内容创建专属入学教育学习包，学生入校前就可在线上进行入学教育的学习及测评，如入校考试、心理测试、安全教育、入馆教育等功能。</w:t>
      </w:r>
    </w:p>
    <w:p>
      <w:pPr>
        <w:pStyle w:val="2"/>
        <w:rPr>
          <w:highlight w:val="none"/>
        </w:rPr>
      </w:pPr>
    </w:p>
    <w:p>
      <w:pPr>
        <w:pStyle w:val="4"/>
        <w:numPr>
          <w:ilvl w:val="2"/>
          <w:numId w:val="2"/>
        </w:numPr>
        <w:spacing w:line="360" w:lineRule="auto"/>
        <w:rPr>
          <w:sz w:val="24"/>
          <w:szCs w:val="24"/>
          <w:highlight w:val="none"/>
          <w:lang w:val="en-US"/>
        </w:rPr>
      </w:pPr>
      <w:r>
        <w:rPr>
          <w:rFonts w:hint="eastAsia"/>
          <w:sz w:val="24"/>
          <w:szCs w:val="24"/>
          <w:highlight w:val="none"/>
          <w:lang w:val="en-US"/>
        </w:rPr>
        <w:t>宿舍管理</w:t>
      </w:r>
    </w:p>
    <w:p>
      <w:pPr>
        <w:spacing w:line="360" w:lineRule="auto"/>
        <w:ind w:firstLine="420"/>
        <w:rPr>
          <w:sz w:val="24"/>
          <w:highlight w:val="none"/>
        </w:rPr>
      </w:pPr>
      <w:r>
        <w:rPr>
          <w:rFonts w:hint="eastAsia"/>
          <w:sz w:val="24"/>
          <w:highlight w:val="none"/>
        </w:rPr>
        <w:t>宿舍管理应用围绕着学生入学的住宿安排及日常宿资源管理维护，为宿舍房源管理工作提供更加直观和便捷的线上管理功能。</w:t>
      </w:r>
    </w:p>
    <w:p>
      <w:pPr>
        <w:numPr>
          <w:ilvl w:val="0"/>
          <w:numId w:val="7"/>
        </w:numPr>
        <w:spacing w:line="360" w:lineRule="auto"/>
        <w:rPr>
          <w:sz w:val="24"/>
          <w:highlight w:val="none"/>
        </w:rPr>
      </w:pPr>
      <w:r>
        <w:rPr>
          <w:rFonts w:hint="eastAsia"/>
          <w:sz w:val="24"/>
          <w:highlight w:val="none"/>
        </w:rPr>
        <w:t>宿舍房源管理，学校管理人员可以对学校的宿舍区、宿舍楼、宿舍等基本信息进行管理，具体内容包括：宿舍楼编号、房间号、楼层、单元、电话、床位数、租金、房间类型、面向学生层次、面向学生性别、朝向、备注等信息，支持批量初始化。</w:t>
      </w:r>
    </w:p>
    <w:p>
      <w:pPr>
        <w:numPr>
          <w:ilvl w:val="0"/>
          <w:numId w:val="7"/>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房态图，可按校区、书院等多维度生成房态图，展示各校区各楼栋的基本信息和床位基本信息，包括校区名称、楼栋名称、楼栋层数、类型、房间数以及各楼栋已入住、未入住、闲置床位数量和床位总数。</w:t>
      </w:r>
    </w:p>
    <w:p>
      <w:pPr>
        <w:numPr>
          <w:ilvl w:val="0"/>
          <w:numId w:val="7"/>
        </w:numPr>
        <w:spacing w:line="360" w:lineRule="auto"/>
        <w:rPr>
          <w:sz w:val="24"/>
          <w:highlight w:val="none"/>
        </w:rPr>
      </w:pPr>
      <w:r>
        <w:rPr>
          <w:rFonts w:hint="eastAsia"/>
          <w:sz w:val="24"/>
          <w:highlight w:val="none"/>
        </w:rPr>
        <w:t>宿舍分配，为宿管人员提供批量排宿应用，可设定划分宿舍范围，将相关宿舍给予院系、专业、辅导员等基于分配给自己的宿舍范围进行人工分配。</w:t>
      </w:r>
    </w:p>
    <w:p>
      <w:pPr>
        <w:numPr>
          <w:ilvl w:val="0"/>
          <w:numId w:val="7"/>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宿舍调配，</w:t>
      </w:r>
      <w:r>
        <w:rPr>
          <w:sz w:val="24"/>
          <w:highlight w:val="none"/>
        </w:rPr>
        <w:t>当床位只分配到学院，还未分配到专业和班级时，可将这些床位通过宿舍调配转移到分配到其它学院</w:t>
      </w:r>
      <w:r>
        <w:rPr>
          <w:rFonts w:hint="eastAsia"/>
          <w:sz w:val="24"/>
          <w:highlight w:val="none"/>
        </w:rPr>
        <w:t>，支持单个调整、床位互换、批量调整多种调整方式。</w:t>
      </w:r>
    </w:p>
    <w:p>
      <w:pPr>
        <w:numPr>
          <w:ilvl w:val="0"/>
          <w:numId w:val="7"/>
        </w:numPr>
        <w:spacing w:line="360" w:lineRule="auto"/>
        <w:rPr>
          <w:sz w:val="24"/>
          <w:highlight w:val="none"/>
        </w:rPr>
      </w:pPr>
      <w:r>
        <w:rPr>
          <w:rFonts w:hint="eastAsia"/>
          <w:sz w:val="24"/>
          <w:highlight w:val="none"/>
        </w:rPr>
        <w:t>宿舍日常管理，支持日常新增导入、更新导入学生住宿信息，支持导出失败数据查看错误提示、导出数据，支持批量办理校内入住、批量办理校内/校外退宿，支持区分校内、校外住宿信息。</w:t>
      </w:r>
    </w:p>
    <w:p>
      <w:pPr>
        <w:numPr>
          <w:ilvl w:val="0"/>
          <w:numId w:val="7"/>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集中住宿管理，支持新增批次、筛选查询、开启、关闭和修改，可对集中住宿批次名称、集中住宿时间、到期自动退宿、学生网上申请通、通道开放时间、可参与申请学生类别、学生年级、学生学院等进行设置。</w:t>
      </w:r>
    </w:p>
    <w:p>
      <w:pPr>
        <w:numPr>
          <w:ilvl w:val="0"/>
          <w:numId w:val="7"/>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宿舍卫生检查，辅导员及后勤人员可以进行卫生检查记录，并拍照上传，学生可查看自身宿舍卫生检查情况。</w:t>
      </w:r>
    </w:p>
    <w:p>
      <w:pPr>
        <w:numPr>
          <w:ilvl w:val="0"/>
          <w:numId w:val="7"/>
        </w:numPr>
        <w:spacing w:line="360" w:lineRule="auto"/>
        <w:rPr>
          <w:sz w:val="24"/>
          <w:highlight w:val="none"/>
        </w:rPr>
      </w:pPr>
      <w:r>
        <w:rPr>
          <w:rFonts w:hint="eastAsia"/>
          <w:sz w:val="24"/>
          <w:highlight w:val="none"/>
        </w:rPr>
        <w:t>宿舍违纪，宿管人员可线上登记违纪的学生及违纪类型与时间。</w:t>
      </w:r>
    </w:p>
    <w:p>
      <w:pPr>
        <w:numPr>
          <w:ilvl w:val="0"/>
          <w:numId w:val="7"/>
        </w:numPr>
        <w:spacing w:line="360" w:lineRule="auto"/>
        <w:rPr>
          <w:sz w:val="24"/>
          <w:highlight w:val="none"/>
        </w:rPr>
      </w:pPr>
      <w:r>
        <w:rPr>
          <w:rFonts w:hint="eastAsia"/>
          <w:sz w:val="24"/>
          <w:highlight w:val="none"/>
        </w:rPr>
        <w:t>宿舍报修，为师生提供在线申请报修及进度查看、维修负责人在线受理和派工、业务管理人员在线管理、监控办理进度和查询统计等功能。</w:t>
      </w:r>
    </w:p>
    <w:p>
      <w:pPr>
        <w:numPr>
          <w:ilvl w:val="0"/>
          <w:numId w:val="7"/>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宿舍考勤管理，宿管老师可设置考勤日期，维护学生打卡开放时间，支持扫码打卡、定位打卡、蓝牙打卡、WiFi打卡等模式。以及针对学生的异常考勤情况设置异常考勤类型，并对考勤数据进行修改、导出、删除等操作。宿管老师可对自己管理范围内的学生考勤情况进行综合查询统计，可按照学年、院系、班级、审核状态等维度自定义统计。支持导出未签到名单，并可对结果导出保存打印。</w:t>
      </w:r>
    </w:p>
    <w:p>
      <w:pPr>
        <w:pStyle w:val="4"/>
        <w:numPr>
          <w:ilvl w:val="2"/>
          <w:numId w:val="2"/>
        </w:numPr>
        <w:spacing w:line="360" w:lineRule="auto"/>
        <w:rPr>
          <w:sz w:val="24"/>
          <w:szCs w:val="24"/>
          <w:highlight w:val="none"/>
          <w:lang w:val="en-US"/>
        </w:rPr>
      </w:pPr>
      <w:r>
        <w:rPr>
          <w:rFonts w:hint="eastAsia"/>
          <w:sz w:val="24"/>
          <w:szCs w:val="24"/>
          <w:highlight w:val="none"/>
          <w:lang w:val="en-US"/>
        </w:rPr>
        <w:t>学生工作管理</w:t>
      </w:r>
    </w:p>
    <w:p>
      <w:pPr>
        <w:spacing w:line="360" w:lineRule="auto"/>
        <w:ind w:firstLine="420"/>
        <w:rPr>
          <w:sz w:val="24"/>
          <w:highlight w:val="none"/>
        </w:rPr>
      </w:pPr>
      <w:r>
        <w:rPr>
          <w:rFonts w:hint="eastAsia"/>
          <w:sz w:val="24"/>
          <w:highlight w:val="none"/>
        </w:rPr>
        <w:t>学工应用主要满足对于在校学生的基本信息管理、综合测评、评奖评优、勤工俭学、违纪处分、困难生认证等周期性业务的常态化管理，同时基于流程引擎提供符合学校规则的证件补办、日常操行、假期留校申请、请销假等碎片化事务的在线办理。学工应用可为师生提供一站式的服务渠道，面向学生一站式发起，减少使用门槛；面向业务老师，自动核验学生填写信息的合格性，减轻审核工作量。面向管理者，提供详细的过程跟踪和数据留痕，并具有多维度多条件的统计分析功能，大大减轻管理人员的后期数据整理汇报工作。</w:t>
      </w:r>
    </w:p>
    <w:p>
      <w:pPr>
        <w:numPr>
          <w:ilvl w:val="0"/>
          <w:numId w:val="8"/>
        </w:numPr>
        <w:spacing w:line="360" w:lineRule="auto"/>
        <w:rPr>
          <w:sz w:val="24"/>
          <w:highlight w:val="none"/>
        </w:rPr>
      </w:pPr>
      <w:r>
        <w:rPr>
          <w:rFonts w:hint="eastAsia"/>
          <w:sz w:val="24"/>
          <w:highlight w:val="none"/>
        </w:rPr>
        <w:t>学生信息库，学生信息库主要解决对所有在籍学生的基本信息采集和日常管理维护工作，可汇总学生学籍、家庭成员、住宿、奖惩、资助、成绩等各方面的数据。辅导员等业务老师可以总览学生的各项情况，管理人员可进一步统计需要的数据报表。</w:t>
      </w:r>
    </w:p>
    <w:p>
      <w:pPr>
        <w:pStyle w:val="12"/>
        <w:numPr>
          <w:ilvl w:val="0"/>
          <w:numId w:val="9"/>
        </w:numPr>
        <w:spacing w:line="360" w:lineRule="auto"/>
        <w:ind w:firstLineChars="0"/>
        <w:rPr>
          <w:sz w:val="24"/>
          <w:highlight w:val="none"/>
        </w:rPr>
      </w:pPr>
      <w:r>
        <w:rPr>
          <w:rFonts w:hint="eastAsia" w:ascii="微软雅黑" w:hAnsi="微软雅黑" w:eastAsia="微软雅黑" w:cs="微软雅黑"/>
          <w:kern w:val="0"/>
          <w:sz w:val="24"/>
          <w:highlight w:val="none"/>
        </w:rPr>
        <w:t>★</w:t>
      </w:r>
      <w:r>
        <w:rPr>
          <w:rFonts w:hint="eastAsia"/>
          <w:sz w:val="24"/>
          <w:highlight w:val="none"/>
        </w:rPr>
        <w:t>学生基本信息设置，根学校不同阶段对于学生基本信息的修改和更新需求，管理人员表单引擎创建信息采集应用，可新增扩展字段，以不断完善基本信息库。</w:t>
      </w:r>
    </w:p>
    <w:p>
      <w:pPr>
        <w:pStyle w:val="12"/>
        <w:numPr>
          <w:ilvl w:val="0"/>
          <w:numId w:val="9"/>
        </w:numPr>
        <w:spacing w:line="360" w:lineRule="auto"/>
        <w:ind w:firstLineChars="0"/>
        <w:rPr>
          <w:sz w:val="24"/>
          <w:highlight w:val="none"/>
        </w:rPr>
      </w:pPr>
      <w:r>
        <w:rPr>
          <w:rFonts w:hint="eastAsia"/>
          <w:sz w:val="24"/>
          <w:highlight w:val="none"/>
        </w:rPr>
        <w:t>学生查看基本信息，为学生提供完善和日常维护个人信息的通道，在指定的时间段内可对自己的信息进行查看、修改，可由辅导员进行数据审核。</w:t>
      </w:r>
    </w:p>
    <w:p>
      <w:pPr>
        <w:pStyle w:val="12"/>
        <w:numPr>
          <w:ilvl w:val="0"/>
          <w:numId w:val="9"/>
        </w:numPr>
        <w:spacing w:line="360" w:lineRule="auto"/>
        <w:ind w:firstLineChars="0"/>
        <w:rPr>
          <w:sz w:val="24"/>
          <w:highlight w:val="none"/>
        </w:rPr>
      </w:pPr>
      <w:r>
        <w:rPr>
          <w:rFonts w:hint="eastAsia"/>
          <w:sz w:val="24"/>
          <w:highlight w:val="none"/>
        </w:rPr>
        <w:t>学生基本信息管理，为各级管理人员提供对自己管理范围内学生的基本信息查看和编辑的功能，可通过学号或姓名快速定位到学生，也可以通过高级搜索筛选出符合条件的学生。应用由权限的老师支持单个或批量维护学生的基本信息，支持按照模板批量导入。</w:t>
      </w:r>
    </w:p>
    <w:p>
      <w:pPr>
        <w:pStyle w:val="12"/>
        <w:numPr>
          <w:ilvl w:val="0"/>
          <w:numId w:val="9"/>
        </w:numPr>
        <w:spacing w:line="360" w:lineRule="auto"/>
        <w:ind w:firstLineChars="0"/>
        <w:rPr>
          <w:sz w:val="24"/>
          <w:highlight w:val="none"/>
        </w:rPr>
      </w:pPr>
      <w:r>
        <w:rPr>
          <w:rFonts w:hint="eastAsia"/>
          <w:sz w:val="24"/>
          <w:highlight w:val="none"/>
        </w:rPr>
        <w:t>学生基本信息统计，各级管理人员可以对自己管辖范围内的学生信息进行明细查询、结果导出保存等。</w:t>
      </w:r>
    </w:p>
    <w:p>
      <w:pPr>
        <w:numPr>
          <w:ilvl w:val="0"/>
          <w:numId w:val="8"/>
        </w:numPr>
        <w:spacing w:line="360" w:lineRule="auto"/>
        <w:rPr>
          <w:sz w:val="24"/>
          <w:highlight w:val="none"/>
        </w:rPr>
      </w:pPr>
      <w:r>
        <w:rPr>
          <w:rFonts w:hint="eastAsia"/>
          <w:sz w:val="24"/>
          <w:highlight w:val="none"/>
        </w:rPr>
        <w:t>学籍异动，学籍异动作为日常学籍的重要业务之一，通过信息化的手段处理可实现过程跟踪和数据留存，同时规范了学籍异动业务的办理流程，给师生带来极大的便利。本模块主要包含异动类型设置、异动流程设置、学籍异动申请、学籍异动审核，学籍异动查询，查询统计功能。</w:t>
      </w:r>
    </w:p>
    <w:p>
      <w:pPr>
        <w:pStyle w:val="12"/>
        <w:numPr>
          <w:ilvl w:val="0"/>
          <w:numId w:val="10"/>
        </w:numPr>
        <w:spacing w:line="360" w:lineRule="auto"/>
        <w:ind w:firstLineChars="0"/>
        <w:rPr>
          <w:sz w:val="24"/>
          <w:highlight w:val="none"/>
        </w:rPr>
      </w:pPr>
      <w:r>
        <w:rPr>
          <w:rFonts w:hint="eastAsia"/>
          <w:sz w:val="24"/>
          <w:highlight w:val="none"/>
        </w:rPr>
        <w:t>异动类型设置，学校管理老师可维护学籍异动类型及异动原因等信息，针对每一种学籍异动类型，可单独维护其异动类型的名称、代码、异动后学籍状态、申请起止时间等信息。默认提供常用的学籍异动种类的初始化数据。</w:t>
      </w:r>
    </w:p>
    <w:p>
      <w:pPr>
        <w:pStyle w:val="12"/>
        <w:numPr>
          <w:ilvl w:val="0"/>
          <w:numId w:val="10"/>
        </w:numPr>
        <w:spacing w:line="360" w:lineRule="auto"/>
        <w:ind w:firstLineChars="0"/>
        <w:rPr>
          <w:sz w:val="24"/>
          <w:highlight w:val="none"/>
        </w:rPr>
      </w:pPr>
      <w:r>
        <w:rPr>
          <w:rFonts w:hint="eastAsia" w:ascii="微软雅黑" w:hAnsi="微软雅黑" w:eastAsia="微软雅黑" w:cs="微软雅黑"/>
          <w:kern w:val="0"/>
          <w:sz w:val="24"/>
          <w:highlight w:val="none"/>
        </w:rPr>
        <w:t>★</w:t>
      </w:r>
      <w:r>
        <w:rPr>
          <w:rFonts w:hint="eastAsia"/>
          <w:sz w:val="24"/>
          <w:highlight w:val="none"/>
        </w:rPr>
        <w:t>异动流程设置，学籍异动可按照不同类型设置不同的申请表单和处理流程。可按照组织架构进行流转、支持手写签名等。</w:t>
      </w:r>
    </w:p>
    <w:p>
      <w:pPr>
        <w:pStyle w:val="12"/>
        <w:numPr>
          <w:ilvl w:val="0"/>
          <w:numId w:val="10"/>
        </w:numPr>
        <w:spacing w:line="360" w:lineRule="auto"/>
        <w:ind w:firstLineChars="0"/>
        <w:rPr>
          <w:sz w:val="24"/>
          <w:highlight w:val="none"/>
        </w:rPr>
      </w:pPr>
      <w:r>
        <w:rPr>
          <w:rFonts w:hint="eastAsia"/>
          <w:sz w:val="24"/>
          <w:highlight w:val="none"/>
        </w:rPr>
        <w:t>学籍异动申请，学生可按照设置提交异动申请，支持上传异动证明材料。对于已经提交的学籍异动申请，学生可在线查看申请进度，并可查看到学籍异动后相关学籍字段的变化情况。</w:t>
      </w:r>
    </w:p>
    <w:p>
      <w:pPr>
        <w:pStyle w:val="12"/>
        <w:numPr>
          <w:ilvl w:val="0"/>
          <w:numId w:val="10"/>
        </w:numPr>
        <w:spacing w:line="360" w:lineRule="auto"/>
        <w:ind w:firstLineChars="0"/>
        <w:rPr>
          <w:sz w:val="24"/>
          <w:highlight w:val="none"/>
        </w:rPr>
      </w:pPr>
      <w:r>
        <w:rPr>
          <w:rFonts w:hint="eastAsia"/>
          <w:sz w:val="24"/>
          <w:highlight w:val="none"/>
        </w:rPr>
        <w:t>学籍异动审核，根据各学籍异动类型所配置的流程，班主任、辅导员、院系学工负责人和学校管理人员可针对学生提交的学籍异动申请进行审核，包含审核通过，审核不通过、退回功能，对于属于本人管理范围内的学生，可以新增学籍异动信息。</w:t>
      </w:r>
    </w:p>
    <w:p>
      <w:pPr>
        <w:pStyle w:val="12"/>
        <w:numPr>
          <w:ilvl w:val="0"/>
          <w:numId w:val="10"/>
        </w:numPr>
        <w:spacing w:line="360" w:lineRule="auto"/>
        <w:ind w:firstLineChars="0"/>
        <w:rPr>
          <w:sz w:val="24"/>
          <w:highlight w:val="none"/>
        </w:rPr>
      </w:pPr>
      <w:r>
        <w:rPr>
          <w:rFonts w:hint="eastAsia"/>
          <w:sz w:val="24"/>
          <w:highlight w:val="none"/>
        </w:rPr>
        <w:t>学籍异动查询，对有查询权限的用户提供查询学生学籍异动记录的应用，可在pc和移动端按照预定条件进行查询。</w:t>
      </w:r>
    </w:p>
    <w:p>
      <w:pPr>
        <w:pStyle w:val="12"/>
        <w:numPr>
          <w:ilvl w:val="0"/>
          <w:numId w:val="10"/>
        </w:numPr>
        <w:spacing w:line="360" w:lineRule="auto"/>
        <w:ind w:firstLineChars="0"/>
        <w:rPr>
          <w:sz w:val="24"/>
          <w:highlight w:val="none"/>
        </w:rPr>
      </w:pPr>
      <w:r>
        <w:rPr>
          <w:rFonts w:hint="eastAsia"/>
          <w:sz w:val="24"/>
          <w:highlight w:val="none"/>
        </w:rPr>
        <w:t>历史记录统计，各级管理人员（学生处管理人员、院系学工负责人、辅导员等）可以对自己管辖范围内的学生学籍异动信息进行明细查询、表格统计、图形统计、统计结果下钻等操作，可对结果导出保存打印。</w:t>
      </w:r>
    </w:p>
    <w:p>
      <w:pPr>
        <w:pStyle w:val="12"/>
        <w:numPr>
          <w:ilvl w:val="0"/>
          <w:numId w:val="8"/>
        </w:numPr>
        <w:spacing w:line="360" w:lineRule="auto"/>
        <w:ind w:firstLine="0" w:firstLineChars="0"/>
        <w:rPr>
          <w:sz w:val="24"/>
          <w:highlight w:val="none"/>
        </w:rPr>
      </w:pPr>
      <w:r>
        <w:rPr>
          <w:rFonts w:hint="eastAsia"/>
          <w:sz w:val="24"/>
          <w:highlight w:val="none"/>
        </w:rPr>
        <w:t>学籍注册，为学校提供每学期对学生报到、缴费、注册的信息化管理，实现对全校各类学生报到、缴费、注册信息的监控、统计、数据共享。主要功能包含注册设置、报到注册管理、缓注册管理、学生注册中心、注册查询统计。</w:t>
      </w:r>
    </w:p>
    <w:p>
      <w:pPr>
        <w:pStyle w:val="12"/>
        <w:numPr>
          <w:ilvl w:val="0"/>
          <w:numId w:val="10"/>
        </w:numPr>
        <w:spacing w:line="360" w:lineRule="auto"/>
        <w:ind w:firstLineChars="0"/>
        <w:rPr>
          <w:sz w:val="24"/>
          <w:highlight w:val="none"/>
        </w:rPr>
      </w:pPr>
      <w:r>
        <w:rPr>
          <w:rFonts w:hint="eastAsia"/>
          <w:sz w:val="24"/>
          <w:highlight w:val="none"/>
        </w:rPr>
        <w:t>注册设置，管理人员可按照学生类型、学年学期对注册业务进行配置，包含注册学年、学期、注册有效期限等。</w:t>
      </w:r>
    </w:p>
    <w:p>
      <w:pPr>
        <w:pStyle w:val="12"/>
        <w:numPr>
          <w:ilvl w:val="0"/>
          <w:numId w:val="10"/>
        </w:numPr>
        <w:spacing w:line="360" w:lineRule="auto"/>
        <w:ind w:firstLineChars="0"/>
        <w:rPr>
          <w:sz w:val="24"/>
          <w:highlight w:val="none"/>
        </w:rPr>
      </w:pPr>
      <w:r>
        <w:rPr>
          <w:rFonts w:hint="eastAsia"/>
          <w:sz w:val="24"/>
          <w:highlight w:val="none"/>
        </w:rPr>
        <w:t>注册管理，各级管理人员可在系统中完成管理范围内学生进行报到注册操作，并可按照多种筛选条件进行复合筛选从而进行批量注册、导出等操作。</w:t>
      </w:r>
    </w:p>
    <w:p>
      <w:pPr>
        <w:pStyle w:val="12"/>
        <w:numPr>
          <w:ilvl w:val="0"/>
          <w:numId w:val="10"/>
        </w:numPr>
        <w:spacing w:line="360" w:lineRule="auto"/>
        <w:ind w:firstLineChars="0"/>
        <w:rPr>
          <w:sz w:val="24"/>
          <w:highlight w:val="none"/>
        </w:rPr>
      </w:pPr>
      <w:r>
        <w:rPr>
          <w:rFonts w:hint="eastAsia"/>
          <w:sz w:val="24"/>
          <w:highlight w:val="none"/>
        </w:rPr>
        <w:t>缓注册审核，可针对学生提交的缓注册申请进行审核，并记录学生缓注册申请的预计到校时间，从而在系统中尽心暂缓注册。</w:t>
      </w:r>
    </w:p>
    <w:p>
      <w:pPr>
        <w:pStyle w:val="12"/>
        <w:numPr>
          <w:ilvl w:val="0"/>
          <w:numId w:val="10"/>
        </w:numPr>
        <w:spacing w:line="360" w:lineRule="auto"/>
        <w:ind w:firstLineChars="0"/>
        <w:rPr>
          <w:sz w:val="24"/>
          <w:highlight w:val="none"/>
        </w:rPr>
      </w:pPr>
      <w:r>
        <w:rPr>
          <w:rFonts w:hint="eastAsia"/>
          <w:sz w:val="24"/>
          <w:highlight w:val="none"/>
        </w:rPr>
        <w:t>缴费数据管理，管理人员可批量将缴费数据导入应用中，实现对其学费缴纳情况进行查询和导出；支持与学校财务系统进行数据对接。</w:t>
      </w:r>
    </w:p>
    <w:p>
      <w:pPr>
        <w:pStyle w:val="12"/>
        <w:numPr>
          <w:ilvl w:val="0"/>
          <w:numId w:val="10"/>
        </w:numPr>
        <w:spacing w:line="360" w:lineRule="auto"/>
        <w:ind w:firstLineChars="0"/>
        <w:rPr>
          <w:sz w:val="24"/>
          <w:highlight w:val="none"/>
        </w:rPr>
      </w:pPr>
      <w:r>
        <w:rPr>
          <w:rFonts w:hint="eastAsia"/>
          <w:sz w:val="24"/>
          <w:highlight w:val="none"/>
        </w:rPr>
        <w:t>学生注册，学生可在规定时间内进行学籍注册、缓注册的申请并查看审批结果。</w:t>
      </w:r>
    </w:p>
    <w:p>
      <w:pPr>
        <w:pStyle w:val="12"/>
        <w:numPr>
          <w:ilvl w:val="0"/>
          <w:numId w:val="10"/>
        </w:numPr>
        <w:spacing w:line="360" w:lineRule="auto"/>
        <w:ind w:firstLineChars="0"/>
        <w:rPr>
          <w:sz w:val="24"/>
          <w:highlight w:val="none"/>
        </w:rPr>
      </w:pPr>
      <w:r>
        <w:rPr>
          <w:rFonts w:hint="eastAsia"/>
          <w:sz w:val="24"/>
          <w:highlight w:val="none"/>
        </w:rPr>
        <w:t>注册查询统计，各级业务管理员可以对自己管辖范围内学生的注册信息进行条件筛选、明细查询、导出等。</w:t>
      </w:r>
    </w:p>
    <w:p>
      <w:pPr>
        <w:numPr>
          <w:ilvl w:val="0"/>
          <w:numId w:val="8"/>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综合测评，</w:t>
      </w:r>
      <w:r>
        <w:rPr>
          <w:sz w:val="24"/>
          <w:highlight w:val="none"/>
        </w:rPr>
        <w:t>主要解决使用量化指标的方式评价学生在校期间各方面发展情况，结合科学合理的测评体系，为促进学生全面发展，提高自身综合素质提供数据支撑，实现学生教育管理工作的标准化、制度化和科学化。</w:t>
      </w:r>
    </w:p>
    <w:p>
      <w:pPr>
        <w:pStyle w:val="12"/>
        <w:numPr>
          <w:ilvl w:val="0"/>
          <w:numId w:val="10"/>
        </w:numPr>
        <w:spacing w:line="360" w:lineRule="auto"/>
        <w:ind w:firstLineChars="0"/>
        <w:rPr>
          <w:sz w:val="24"/>
          <w:highlight w:val="none"/>
        </w:rPr>
      </w:pPr>
      <w:r>
        <w:rPr>
          <w:rFonts w:hint="eastAsia"/>
          <w:sz w:val="24"/>
          <w:highlight w:val="none"/>
        </w:rPr>
        <w:t>测评方案设置，</w:t>
      </w:r>
      <w:r>
        <w:rPr>
          <w:sz w:val="24"/>
          <w:highlight w:val="none"/>
        </w:rPr>
        <w:t>管理人员可以灵活设置测评方案，包含指标细则、各项得分范围限制及汇算系数、附加分细则、分数换算以及审批流程等；根据需要可设置多个测评方案，各测评方案可面向不同年级、学生类别以及院专班的学生开放，</w:t>
      </w:r>
      <w:r>
        <w:rPr>
          <w:rFonts w:hint="eastAsia"/>
          <w:sz w:val="24"/>
          <w:highlight w:val="none"/>
        </w:rPr>
        <w:t>设置不同的批次</w:t>
      </w:r>
      <w:r>
        <w:rPr>
          <w:sz w:val="24"/>
          <w:highlight w:val="none"/>
        </w:rPr>
        <w:t>分批进行</w:t>
      </w:r>
      <w:r>
        <w:rPr>
          <w:rFonts w:hint="eastAsia"/>
          <w:sz w:val="24"/>
          <w:highlight w:val="none"/>
        </w:rPr>
        <w:t>。</w:t>
      </w:r>
    </w:p>
    <w:p>
      <w:pPr>
        <w:pStyle w:val="12"/>
        <w:numPr>
          <w:ilvl w:val="0"/>
          <w:numId w:val="10"/>
        </w:numPr>
        <w:spacing w:line="360" w:lineRule="auto"/>
        <w:ind w:firstLineChars="0"/>
        <w:rPr>
          <w:sz w:val="24"/>
          <w:highlight w:val="none"/>
        </w:rPr>
      </w:pPr>
      <w:r>
        <w:rPr>
          <w:rFonts w:hint="eastAsia" w:ascii="微软雅黑" w:hAnsi="微软雅黑" w:eastAsia="微软雅黑" w:cs="微软雅黑"/>
          <w:kern w:val="0"/>
          <w:sz w:val="24"/>
          <w:highlight w:val="none"/>
        </w:rPr>
        <w:t>★</w:t>
      </w:r>
      <w:r>
        <w:rPr>
          <w:rFonts w:hint="eastAsia"/>
          <w:sz w:val="24"/>
          <w:highlight w:val="none"/>
        </w:rPr>
        <w:t>高级设置，支持通过IFS函数对相应测评批次的各指标得分、测评总成绩进行换算，使用场景包括将指标得分换算为学分、将测评总成绩换算为学分或等级。支持设置测评批次的测评总成绩范围，即最低分和最高分，学生总成绩低于最低分时按最低分计算、高于最高分时按最高分计算。支持采用多人评分制，学生通过相应附加分申请后，可将评分权交给指定人员进行评分，支持评分范围的自定义设置以及对评分结果进行计算和换算。支持申请团体附加分，学生在进行相应附加分申请时可添加团队成员，支持对团队成员的最大人数进行限制。</w:t>
      </w:r>
    </w:p>
    <w:p>
      <w:pPr>
        <w:pStyle w:val="12"/>
        <w:numPr>
          <w:ilvl w:val="0"/>
          <w:numId w:val="10"/>
        </w:numPr>
        <w:spacing w:line="360" w:lineRule="auto"/>
        <w:ind w:firstLineChars="0"/>
        <w:rPr>
          <w:sz w:val="24"/>
          <w:highlight w:val="none"/>
        </w:rPr>
      </w:pPr>
      <w:r>
        <w:rPr>
          <w:sz w:val="24"/>
          <w:highlight w:val="none"/>
        </w:rPr>
        <w:t>测评过程管理</w:t>
      </w:r>
      <w:r>
        <w:rPr>
          <w:rFonts w:hint="eastAsia"/>
          <w:sz w:val="24"/>
          <w:highlight w:val="none"/>
        </w:rPr>
        <w:t>，</w:t>
      </w:r>
      <w:r>
        <w:rPr>
          <w:sz w:val="24"/>
          <w:highlight w:val="none"/>
        </w:rPr>
        <w:t>根据权限对学生的评分项指标进行评分，对测评成绩、附加分申请进行审核等，可自定义权限配置</w:t>
      </w:r>
      <w:r>
        <w:rPr>
          <w:rFonts w:hint="eastAsia"/>
          <w:sz w:val="24"/>
          <w:highlight w:val="none"/>
        </w:rPr>
        <w:t>。</w:t>
      </w:r>
    </w:p>
    <w:p>
      <w:pPr>
        <w:pStyle w:val="12"/>
        <w:numPr>
          <w:ilvl w:val="0"/>
          <w:numId w:val="10"/>
        </w:numPr>
        <w:spacing w:line="360" w:lineRule="auto"/>
        <w:ind w:firstLineChars="0"/>
        <w:rPr>
          <w:sz w:val="24"/>
          <w:highlight w:val="none"/>
        </w:rPr>
      </w:pPr>
      <w:r>
        <w:rPr>
          <w:sz w:val="24"/>
          <w:highlight w:val="none"/>
        </w:rPr>
        <w:t>成绩查询统计</w:t>
      </w:r>
      <w:r>
        <w:rPr>
          <w:rFonts w:hint="eastAsia"/>
          <w:sz w:val="24"/>
          <w:highlight w:val="none"/>
        </w:rPr>
        <w:t>，</w:t>
      </w:r>
      <w:r>
        <w:rPr>
          <w:sz w:val="24"/>
          <w:highlight w:val="none"/>
        </w:rPr>
        <w:t>支持通过姓名、学号、学院、专业、班级、所在年级、学生类别等条件对测评结果进行筛选查询，支持导出和配置成绩打印模板进行打印</w:t>
      </w:r>
      <w:r>
        <w:rPr>
          <w:rFonts w:hint="eastAsia"/>
          <w:sz w:val="24"/>
          <w:highlight w:val="none"/>
        </w:rPr>
        <w:t>。</w:t>
      </w:r>
    </w:p>
    <w:p>
      <w:pPr>
        <w:numPr>
          <w:ilvl w:val="0"/>
          <w:numId w:val="8"/>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奖学金，主要解决线下奖学金评定过程中周期长、过程不透明、痕迹无留存；进度无反馈、出现问题核对繁琐的问题。奖学金应用可与基本信息库、综合测评和违纪处分应用联动，实现申请的自动审核和过滤，对于过程中填报的内容也可自动审核，提高流程运转速度，减少管理人员的工作量。同时通过为学生提供在线的申请和查看通道，也能够解决原有信息传达性不足，学生无法及时了解评奖信息的情况。</w:t>
      </w:r>
    </w:p>
    <w:p>
      <w:pPr>
        <w:pStyle w:val="12"/>
        <w:numPr>
          <w:ilvl w:val="0"/>
          <w:numId w:val="11"/>
        </w:numPr>
        <w:spacing w:line="360" w:lineRule="auto"/>
        <w:ind w:firstLineChars="0"/>
        <w:rPr>
          <w:sz w:val="24"/>
          <w:highlight w:val="none"/>
        </w:rPr>
      </w:pPr>
      <w:r>
        <w:rPr>
          <w:rFonts w:hint="eastAsia"/>
          <w:sz w:val="24"/>
          <w:highlight w:val="none"/>
        </w:rPr>
        <w:t>奖学金基础信息管理：编辑名称、类别、级别、金额等基本信息。</w:t>
      </w:r>
    </w:p>
    <w:p>
      <w:pPr>
        <w:pStyle w:val="12"/>
        <w:numPr>
          <w:ilvl w:val="0"/>
          <w:numId w:val="11"/>
        </w:numPr>
        <w:spacing w:line="360" w:lineRule="auto"/>
        <w:ind w:firstLineChars="0"/>
        <w:rPr>
          <w:sz w:val="24"/>
          <w:highlight w:val="none"/>
        </w:rPr>
      </w:pPr>
      <w:r>
        <w:rPr>
          <w:rFonts w:hint="eastAsia"/>
          <w:sz w:val="24"/>
          <w:highlight w:val="none"/>
        </w:rPr>
        <w:t>评选条件设置：根据奖学金的实际申请及评定条件要求</w:t>
      </w:r>
      <w:r>
        <w:rPr>
          <w:sz w:val="24"/>
          <w:highlight w:val="none"/>
        </w:rPr>
        <w:t>,</w:t>
      </w:r>
      <w:r>
        <w:rPr>
          <w:rFonts w:hint="eastAsia"/>
          <w:sz w:val="24"/>
          <w:highlight w:val="none"/>
        </w:rPr>
        <w:t>在应用中进行配置。如综合测评必须达到</w:t>
      </w:r>
      <w:r>
        <w:rPr>
          <w:sz w:val="24"/>
          <w:highlight w:val="none"/>
        </w:rPr>
        <w:t>85</w:t>
      </w:r>
      <w:r>
        <w:rPr>
          <w:rFonts w:hint="eastAsia"/>
          <w:sz w:val="24"/>
          <w:highlight w:val="none"/>
        </w:rPr>
        <w:t>分、无违纪处分记录、无挂科现象等。</w:t>
      </w:r>
    </w:p>
    <w:p>
      <w:pPr>
        <w:pStyle w:val="12"/>
        <w:numPr>
          <w:ilvl w:val="0"/>
          <w:numId w:val="11"/>
        </w:numPr>
        <w:spacing w:line="360" w:lineRule="auto"/>
        <w:ind w:firstLineChars="0"/>
        <w:rPr>
          <w:sz w:val="24"/>
          <w:highlight w:val="none"/>
        </w:rPr>
      </w:pPr>
      <w:r>
        <w:rPr>
          <w:rFonts w:hint="eastAsia"/>
          <w:sz w:val="24"/>
          <w:highlight w:val="none"/>
        </w:rPr>
        <w:t>申请表设置：根据每类奖学金的实际申请填写材料要求</w:t>
      </w:r>
      <w:r>
        <w:rPr>
          <w:sz w:val="24"/>
          <w:highlight w:val="none"/>
        </w:rPr>
        <w:t>,</w:t>
      </w:r>
      <w:r>
        <w:rPr>
          <w:rFonts w:hint="eastAsia"/>
          <w:sz w:val="24"/>
          <w:highlight w:val="none"/>
        </w:rPr>
        <w:t>在应用中进行配置。支持下拉框、单选、多选、附件上传等。</w:t>
      </w:r>
    </w:p>
    <w:p>
      <w:pPr>
        <w:pStyle w:val="12"/>
        <w:numPr>
          <w:ilvl w:val="0"/>
          <w:numId w:val="11"/>
        </w:numPr>
        <w:spacing w:line="360" w:lineRule="auto"/>
        <w:ind w:firstLineChars="0"/>
        <w:rPr>
          <w:sz w:val="24"/>
          <w:highlight w:val="none"/>
        </w:rPr>
      </w:pPr>
      <w:r>
        <w:rPr>
          <w:rFonts w:hint="eastAsia"/>
          <w:sz w:val="24"/>
          <w:highlight w:val="none"/>
        </w:rPr>
        <w:t>审核流程设置：根据学校的实际管理要求，为每个奖种设置审核流程；支持按照角色、组织机构流转；支持会签、或签操作。</w:t>
      </w:r>
    </w:p>
    <w:p>
      <w:pPr>
        <w:pStyle w:val="12"/>
        <w:numPr>
          <w:ilvl w:val="0"/>
          <w:numId w:val="11"/>
        </w:numPr>
        <w:spacing w:line="360" w:lineRule="auto"/>
        <w:ind w:firstLineChars="0"/>
        <w:rPr>
          <w:sz w:val="24"/>
          <w:highlight w:val="none"/>
        </w:rPr>
      </w:pPr>
      <w:r>
        <w:rPr>
          <w:rFonts w:hint="eastAsia" w:ascii="微软雅黑" w:hAnsi="微软雅黑" w:eastAsia="微软雅黑" w:cs="微软雅黑"/>
          <w:kern w:val="0"/>
          <w:sz w:val="24"/>
          <w:highlight w:val="none"/>
        </w:rPr>
        <w:t>★</w:t>
      </w:r>
      <w:r>
        <w:rPr>
          <w:rFonts w:hint="eastAsia"/>
          <w:sz w:val="24"/>
          <w:highlight w:val="none"/>
        </w:rPr>
        <w:t>不可兼得设置，为学校管理人员提供维护各个奖种之间兼得关系的功能，可根据学校具体奖学金兼得要求进行灵活的设置。奖学金申请，学生可见当前学校开通的所有奖学金种类，选中自己希望获得的奖学金，然后提交申请，对于不符合条件的学生，应用会给出相关不符合申请条件的提示。申请提出后，学生可查看申请的处理进度。</w:t>
      </w:r>
    </w:p>
    <w:p>
      <w:pPr>
        <w:pStyle w:val="12"/>
        <w:numPr>
          <w:ilvl w:val="0"/>
          <w:numId w:val="11"/>
        </w:numPr>
        <w:spacing w:line="360" w:lineRule="auto"/>
        <w:ind w:firstLineChars="0"/>
        <w:rPr>
          <w:sz w:val="24"/>
          <w:highlight w:val="none"/>
        </w:rPr>
      </w:pPr>
      <w:r>
        <w:rPr>
          <w:rFonts w:hint="eastAsia"/>
          <w:sz w:val="24"/>
          <w:highlight w:val="none"/>
        </w:rPr>
        <w:t>奖学金审核，根据各奖种预设的流程，班主任或辅导员、院系负责人、校级负责人可对所负责学生的奖学金申请信息进行审核，应用支持批量审核。同时提供审核统计功能，方便学校以院系为维度，院系、辅导员、班主任以班级或专业为维度，通过表格或者图形方式查看审核汇总情况，可以做批量审核操作。</w:t>
      </w:r>
    </w:p>
    <w:p>
      <w:pPr>
        <w:pStyle w:val="12"/>
        <w:numPr>
          <w:ilvl w:val="0"/>
          <w:numId w:val="11"/>
        </w:numPr>
        <w:spacing w:line="360" w:lineRule="auto"/>
        <w:ind w:firstLineChars="0"/>
        <w:rPr>
          <w:sz w:val="24"/>
          <w:highlight w:val="none"/>
        </w:rPr>
      </w:pPr>
      <w:r>
        <w:rPr>
          <w:rFonts w:hint="eastAsia"/>
          <w:sz w:val="24"/>
          <w:highlight w:val="none"/>
        </w:rPr>
        <w:t>管理人员可在线查看学生的奖学金申请表，同时应用支持证明材料附件的在线预览。</w:t>
      </w:r>
    </w:p>
    <w:p>
      <w:pPr>
        <w:pStyle w:val="12"/>
        <w:numPr>
          <w:ilvl w:val="0"/>
          <w:numId w:val="11"/>
        </w:numPr>
        <w:spacing w:line="360" w:lineRule="auto"/>
        <w:ind w:firstLineChars="0"/>
        <w:rPr>
          <w:sz w:val="24"/>
          <w:highlight w:val="none"/>
        </w:rPr>
      </w:pPr>
      <w:r>
        <w:rPr>
          <w:rFonts w:hint="eastAsia"/>
          <w:sz w:val="24"/>
          <w:highlight w:val="none"/>
        </w:rPr>
        <w:t>奖学金公示，奖学金评定工作完成之后，学生可在线查看奖学金评定的具体情况，以保证奖学金业务的公平、公正、公开。</w:t>
      </w:r>
    </w:p>
    <w:p>
      <w:pPr>
        <w:pStyle w:val="12"/>
        <w:numPr>
          <w:ilvl w:val="0"/>
          <w:numId w:val="11"/>
        </w:numPr>
        <w:spacing w:line="360" w:lineRule="auto"/>
        <w:ind w:firstLineChars="0"/>
        <w:rPr>
          <w:sz w:val="24"/>
          <w:highlight w:val="none"/>
        </w:rPr>
      </w:pPr>
      <w:r>
        <w:rPr>
          <w:rFonts w:hint="eastAsia"/>
          <w:sz w:val="24"/>
          <w:highlight w:val="none"/>
        </w:rPr>
        <w:t>奖学金查询，具有权限的老师可按条件查看奖学金评定相关信息。</w:t>
      </w:r>
    </w:p>
    <w:p>
      <w:pPr>
        <w:pStyle w:val="12"/>
        <w:numPr>
          <w:ilvl w:val="0"/>
          <w:numId w:val="11"/>
        </w:numPr>
        <w:spacing w:line="360" w:lineRule="auto"/>
        <w:ind w:firstLineChars="0"/>
        <w:rPr>
          <w:sz w:val="24"/>
          <w:highlight w:val="none"/>
        </w:rPr>
      </w:pPr>
      <w:r>
        <w:rPr>
          <w:rFonts w:hint="eastAsia"/>
          <w:sz w:val="24"/>
          <w:highlight w:val="none"/>
        </w:rPr>
        <w:t>奖学金结果打印，可打印获奖学生证明文件以留档，支持学校自定义模板。</w:t>
      </w:r>
    </w:p>
    <w:p>
      <w:pPr>
        <w:pStyle w:val="12"/>
        <w:numPr>
          <w:ilvl w:val="0"/>
          <w:numId w:val="11"/>
        </w:numPr>
        <w:spacing w:line="360" w:lineRule="auto"/>
        <w:ind w:firstLineChars="0"/>
        <w:rPr>
          <w:sz w:val="24"/>
          <w:highlight w:val="none"/>
        </w:rPr>
      </w:pPr>
      <w:r>
        <w:rPr>
          <w:rFonts w:hint="eastAsia"/>
          <w:sz w:val="24"/>
          <w:highlight w:val="none"/>
        </w:rPr>
        <w:t>奖学金发放表，按照预设好的奖学金金额可生成奖学金发放表，包含学号、姓名、身份证号、银行卡号、评定等级、应发金额等信息，减少老师的统计工作。</w:t>
      </w:r>
    </w:p>
    <w:p>
      <w:pPr>
        <w:pStyle w:val="12"/>
        <w:numPr>
          <w:ilvl w:val="0"/>
          <w:numId w:val="11"/>
        </w:numPr>
        <w:spacing w:line="360" w:lineRule="auto"/>
        <w:ind w:firstLineChars="0"/>
        <w:rPr>
          <w:sz w:val="24"/>
          <w:highlight w:val="none"/>
        </w:rPr>
      </w:pPr>
      <w:r>
        <w:rPr>
          <w:rFonts w:hint="eastAsia"/>
          <w:sz w:val="24"/>
          <w:highlight w:val="none"/>
        </w:rPr>
        <w:t>奖学金查询统计，各级管理人员可以对自己管辖范围内学生的奖学金信息进行明细查询、统计结果导出保存。</w:t>
      </w:r>
    </w:p>
    <w:p>
      <w:pPr>
        <w:numPr>
          <w:ilvl w:val="0"/>
          <w:numId w:val="8"/>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荣誉称号，主要解决线下荣誉称号评定过程中周期长、过程不透明、痕迹无留存；进度无反馈、出现问题核对繁琐的问题。荣誉称号应用可与基本信息库、综合测评和违纪处分应用联动，实现申请的自动审核和过滤，对于过程中填报的内容也可自动审核，提高流程运转速度，减少管理人员的工作量。同时通过为学生提供在线的申请和查看通道，也能够解决原有信息传达性不足，学生无法及时了解荣誉称号评定的情况。</w:t>
      </w:r>
    </w:p>
    <w:p>
      <w:pPr>
        <w:pStyle w:val="12"/>
        <w:numPr>
          <w:ilvl w:val="0"/>
          <w:numId w:val="12"/>
        </w:numPr>
        <w:spacing w:line="360" w:lineRule="auto"/>
        <w:ind w:firstLineChars="0"/>
        <w:rPr>
          <w:sz w:val="24"/>
          <w:highlight w:val="none"/>
        </w:rPr>
      </w:pPr>
      <w:r>
        <w:rPr>
          <w:rFonts w:hint="eastAsia"/>
          <w:sz w:val="24"/>
          <w:highlight w:val="none"/>
        </w:rPr>
        <w:t>荣誉称号设置，各项奖学金的新增和管理，如优秀学生干部、三好学生、优秀团员等。管理员可设置荣誉称号的基本信息、等级、申请表单、评定规则、申请流程、评选条件等。</w:t>
      </w:r>
    </w:p>
    <w:p>
      <w:pPr>
        <w:pStyle w:val="12"/>
        <w:numPr>
          <w:ilvl w:val="0"/>
          <w:numId w:val="12"/>
        </w:numPr>
        <w:spacing w:line="360" w:lineRule="auto"/>
        <w:ind w:firstLineChars="0"/>
        <w:rPr>
          <w:sz w:val="24"/>
          <w:highlight w:val="none"/>
        </w:rPr>
      </w:pPr>
      <w:r>
        <w:rPr>
          <w:rFonts w:hint="eastAsia"/>
          <w:sz w:val="24"/>
          <w:highlight w:val="none"/>
        </w:rPr>
        <w:t>荣誉称号基础信息管理：编辑名称、类别、级别等基本信息。</w:t>
      </w:r>
    </w:p>
    <w:p>
      <w:pPr>
        <w:pStyle w:val="12"/>
        <w:numPr>
          <w:ilvl w:val="0"/>
          <w:numId w:val="12"/>
        </w:numPr>
        <w:spacing w:line="360" w:lineRule="auto"/>
        <w:ind w:firstLineChars="0"/>
        <w:rPr>
          <w:sz w:val="24"/>
          <w:highlight w:val="none"/>
        </w:rPr>
      </w:pPr>
      <w:r>
        <w:rPr>
          <w:rFonts w:hint="eastAsia"/>
          <w:sz w:val="24"/>
          <w:highlight w:val="none"/>
        </w:rPr>
        <w:t>评选条件设置：根据荣誉称号的实际申请及评定条件要求</w:t>
      </w:r>
      <w:r>
        <w:rPr>
          <w:sz w:val="24"/>
          <w:highlight w:val="none"/>
        </w:rPr>
        <w:t>,</w:t>
      </w:r>
      <w:r>
        <w:rPr>
          <w:rFonts w:hint="eastAsia"/>
          <w:sz w:val="24"/>
          <w:highlight w:val="none"/>
        </w:rPr>
        <w:t>在应用中进行配置。如综合测评必须达到</w:t>
      </w:r>
      <w:r>
        <w:rPr>
          <w:sz w:val="24"/>
          <w:highlight w:val="none"/>
        </w:rPr>
        <w:t>85</w:t>
      </w:r>
      <w:r>
        <w:rPr>
          <w:rFonts w:hint="eastAsia"/>
          <w:sz w:val="24"/>
          <w:highlight w:val="none"/>
        </w:rPr>
        <w:t>分、无违纪处分记录、无挂科现象、是否为团员、是否为学生干部等。</w:t>
      </w:r>
    </w:p>
    <w:p>
      <w:pPr>
        <w:pStyle w:val="12"/>
        <w:numPr>
          <w:ilvl w:val="0"/>
          <w:numId w:val="12"/>
        </w:numPr>
        <w:spacing w:line="360" w:lineRule="auto"/>
        <w:ind w:firstLineChars="0"/>
        <w:rPr>
          <w:sz w:val="24"/>
          <w:highlight w:val="none"/>
        </w:rPr>
      </w:pPr>
      <w:r>
        <w:rPr>
          <w:rFonts w:hint="eastAsia"/>
          <w:sz w:val="24"/>
          <w:highlight w:val="none"/>
        </w:rPr>
        <w:t>申请表设置：根据每类荣誉称号的实际申请填写材料要求</w:t>
      </w:r>
      <w:r>
        <w:rPr>
          <w:sz w:val="24"/>
          <w:highlight w:val="none"/>
        </w:rPr>
        <w:t>,</w:t>
      </w:r>
      <w:r>
        <w:rPr>
          <w:rFonts w:hint="eastAsia"/>
          <w:sz w:val="24"/>
          <w:highlight w:val="none"/>
        </w:rPr>
        <w:t>在应用中进行配置。支持下拉框、单选、多选、附件上传等。</w:t>
      </w:r>
    </w:p>
    <w:p>
      <w:pPr>
        <w:pStyle w:val="12"/>
        <w:numPr>
          <w:ilvl w:val="0"/>
          <w:numId w:val="12"/>
        </w:numPr>
        <w:spacing w:line="360" w:lineRule="auto"/>
        <w:ind w:firstLineChars="0"/>
        <w:rPr>
          <w:sz w:val="24"/>
          <w:highlight w:val="none"/>
        </w:rPr>
      </w:pPr>
      <w:r>
        <w:rPr>
          <w:rFonts w:hint="eastAsia"/>
          <w:sz w:val="24"/>
          <w:highlight w:val="none"/>
        </w:rPr>
        <w:t>审核流程设置：根据学校的实际管理要求，为每个荣誉称号设置审核流程；支持按照角色、组织机构流转；支持会签、或签操作。</w:t>
      </w:r>
    </w:p>
    <w:p>
      <w:pPr>
        <w:pStyle w:val="12"/>
        <w:numPr>
          <w:ilvl w:val="0"/>
          <w:numId w:val="12"/>
        </w:numPr>
        <w:spacing w:line="360" w:lineRule="auto"/>
        <w:ind w:firstLineChars="0"/>
        <w:rPr>
          <w:sz w:val="24"/>
          <w:highlight w:val="none"/>
        </w:rPr>
      </w:pPr>
      <w:r>
        <w:rPr>
          <w:rFonts w:hint="eastAsia"/>
          <w:sz w:val="24"/>
          <w:highlight w:val="none"/>
        </w:rPr>
        <w:t>不可兼得设置，为学校管理人员提供维护各个荣誉称号之间兼得关系的功能，可根据学校具体荣誉称号兼得要求进行灵活的设置。</w:t>
      </w:r>
    </w:p>
    <w:p>
      <w:pPr>
        <w:pStyle w:val="12"/>
        <w:numPr>
          <w:ilvl w:val="0"/>
          <w:numId w:val="12"/>
        </w:numPr>
        <w:spacing w:line="360" w:lineRule="auto"/>
        <w:ind w:firstLineChars="0"/>
        <w:rPr>
          <w:sz w:val="24"/>
          <w:highlight w:val="none"/>
        </w:rPr>
      </w:pPr>
      <w:r>
        <w:rPr>
          <w:rFonts w:hint="eastAsia"/>
          <w:sz w:val="24"/>
          <w:highlight w:val="none"/>
        </w:rPr>
        <w:t xml:space="preserve">个人荣誉称号申请，学生可见当前可申请学校已开通的所有个人荣誉称号种类，选中自己希望获得的荣誉称号提交申请；对于不符合条件的学生，申请时应用将直接提示“不符合申请条件”。申请提出后学生可随时查看申请的审核进度。   </w:t>
      </w:r>
    </w:p>
    <w:p>
      <w:pPr>
        <w:pStyle w:val="12"/>
        <w:numPr>
          <w:ilvl w:val="0"/>
          <w:numId w:val="12"/>
        </w:numPr>
        <w:spacing w:line="360" w:lineRule="auto"/>
        <w:ind w:firstLineChars="0"/>
        <w:rPr>
          <w:sz w:val="24"/>
          <w:highlight w:val="none"/>
        </w:rPr>
      </w:pPr>
      <w:r>
        <w:rPr>
          <w:rFonts w:hint="eastAsia"/>
          <w:sz w:val="24"/>
          <w:highlight w:val="none"/>
        </w:rPr>
        <w:t>个人荣誉称号审核，根据各荣誉称号预设的流程，班主任或辅导员、院系负责人、校级负责人可对所负责学生的荣誉称号申请信息进行审核，应用支持批量审核。同时提供审核统计功能，方便学校以院系为维度，院系、辅导员、班主任以班级或专业为维度，通过表格或者图形方式查看审核汇总情况，可以做批量审核操作。</w:t>
      </w:r>
    </w:p>
    <w:p>
      <w:pPr>
        <w:pStyle w:val="12"/>
        <w:numPr>
          <w:ilvl w:val="0"/>
          <w:numId w:val="12"/>
        </w:numPr>
        <w:spacing w:line="360" w:lineRule="auto"/>
        <w:ind w:firstLineChars="0"/>
        <w:rPr>
          <w:sz w:val="24"/>
          <w:highlight w:val="none"/>
        </w:rPr>
      </w:pPr>
      <w:r>
        <w:rPr>
          <w:rFonts w:hint="eastAsia"/>
          <w:sz w:val="24"/>
          <w:highlight w:val="none"/>
        </w:rPr>
        <w:t>管理人员可在线查看学生的荣誉称号申请表，同时应用支持证明材料附件的在线预览。</w:t>
      </w:r>
    </w:p>
    <w:p>
      <w:pPr>
        <w:pStyle w:val="12"/>
        <w:numPr>
          <w:ilvl w:val="0"/>
          <w:numId w:val="12"/>
        </w:numPr>
        <w:spacing w:line="360" w:lineRule="auto"/>
        <w:ind w:firstLineChars="0"/>
        <w:rPr>
          <w:sz w:val="24"/>
          <w:highlight w:val="none"/>
        </w:rPr>
      </w:pPr>
      <w:r>
        <w:rPr>
          <w:rFonts w:hint="eastAsia"/>
          <w:sz w:val="24"/>
          <w:highlight w:val="none"/>
        </w:rPr>
        <w:t>集体荣誉称号申请，指定角色（如班长、团支书）可见当前可申请的所有集体荣誉称号种类，可在线提交申请。申请提出后可随时查看申请的审核进度。</w:t>
      </w:r>
    </w:p>
    <w:p>
      <w:pPr>
        <w:pStyle w:val="12"/>
        <w:numPr>
          <w:ilvl w:val="0"/>
          <w:numId w:val="12"/>
        </w:numPr>
        <w:spacing w:line="360" w:lineRule="auto"/>
        <w:ind w:firstLineChars="0"/>
        <w:rPr>
          <w:sz w:val="24"/>
          <w:highlight w:val="none"/>
        </w:rPr>
      </w:pPr>
      <w:r>
        <w:rPr>
          <w:rFonts w:hint="eastAsia"/>
          <w:sz w:val="24"/>
          <w:highlight w:val="none"/>
        </w:rPr>
        <w:t>集体荣誉称号审核，根据各荣誉称号预设的流程，班主任或辅导员、院系负责人、校级负责人可对所负责学生的荣誉称号申请信息进行审核，应用支持批量审核。同时提供审核统计功能，方便学校以院系为维度，院系、辅导员、班主任以班级或专业为维度，通过表格或者图形方式查看审核汇总情况，可以做批量审核操作。管理人员可在线查看学生的荣誉称号申请表，同时应用支持证明材料附件的在线预览。</w:t>
      </w:r>
    </w:p>
    <w:p>
      <w:pPr>
        <w:pStyle w:val="12"/>
        <w:numPr>
          <w:ilvl w:val="0"/>
          <w:numId w:val="12"/>
        </w:numPr>
        <w:spacing w:line="360" w:lineRule="auto"/>
        <w:ind w:firstLineChars="0"/>
        <w:rPr>
          <w:sz w:val="24"/>
          <w:highlight w:val="none"/>
        </w:rPr>
      </w:pPr>
      <w:r>
        <w:rPr>
          <w:rFonts w:hint="eastAsia"/>
          <w:sz w:val="24"/>
          <w:highlight w:val="none"/>
        </w:rPr>
        <w:t>荣誉称号公示，评定工作完成之后，学生可在线查看荣誉称号评定的具体情况，以保证业务的公平、公正、公开。</w:t>
      </w:r>
    </w:p>
    <w:p>
      <w:pPr>
        <w:pStyle w:val="12"/>
        <w:numPr>
          <w:ilvl w:val="0"/>
          <w:numId w:val="12"/>
        </w:numPr>
        <w:spacing w:line="360" w:lineRule="auto"/>
        <w:ind w:firstLineChars="0"/>
        <w:rPr>
          <w:sz w:val="24"/>
          <w:highlight w:val="none"/>
        </w:rPr>
      </w:pPr>
      <w:r>
        <w:rPr>
          <w:rFonts w:hint="eastAsia"/>
          <w:sz w:val="24"/>
          <w:highlight w:val="none"/>
        </w:rPr>
        <w:t>荣誉称号查询，具有权限的老师可按条件查看相应荣誉称号评定相关信息。</w:t>
      </w:r>
    </w:p>
    <w:p>
      <w:pPr>
        <w:pStyle w:val="12"/>
        <w:numPr>
          <w:ilvl w:val="0"/>
          <w:numId w:val="12"/>
        </w:numPr>
        <w:spacing w:line="360" w:lineRule="auto"/>
        <w:ind w:firstLineChars="0"/>
        <w:rPr>
          <w:sz w:val="24"/>
          <w:highlight w:val="none"/>
        </w:rPr>
      </w:pPr>
      <w:r>
        <w:rPr>
          <w:rFonts w:hint="eastAsia"/>
          <w:sz w:val="24"/>
          <w:highlight w:val="none"/>
        </w:rPr>
        <w:t>评优结果打印，可打印获奖学生证明文件以留档，支持学校自定义模板。</w:t>
      </w:r>
    </w:p>
    <w:p>
      <w:pPr>
        <w:pStyle w:val="12"/>
        <w:numPr>
          <w:ilvl w:val="0"/>
          <w:numId w:val="12"/>
        </w:numPr>
        <w:spacing w:line="360" w:lineRule="auto"/>
        <w:ind w:firstLineChars="0"/>
        <w:rPr>
          <w:sz w:val="24"/>
          <w:highlight w:val="none"/>
        </w:rPr>
      </w:pPr>
      <w:r>
        <w:rPr>
          <w:rFonts w:hint="eastAsia"/>
          <w:sz w:val="24"/>
          <w:highlight w:val="none"/>
        </w:rPr>
        <w:t>荣誉称号查询统计，各级管理人员可以对自己管辖范围内的荣誉称号信息进行明细查询、统计结果导出保存。</w:t>
      </w:r>
    </w:p>
    <w:p>
      <w:pPr>
        <w:numPr>
          <w:ilvl w:val="0"/>
          <w:numId w:val="8"/>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违纪处分，违纪处分主要分为三个大类：违纪处分登记、违纪处分审核、违纪处分解除。主要解决学生的违纪处分登记、管理及统计问题，为其他各项业务开展提供数据这支持。</w:t>
      </w:r>
    </w:p>
    <w:p>
      <w:pPr>
        <w:pStyle w:val="12"/>
        <w:numPr>
          <w:ilvl w:val="0"/>
          <w:numId w:val="13"/>
        </w:numPr>
        <w:spacing w:line="360" w:lineRule="auto"/>
        <w:ind w:firstLineChars="0"/>
        <w:rPr>
          <w:sz w:val="24"/>
          <w:highlight w:val="none"/>
        </w:rPr>
      </w:pPr>
      <w:r>
        <w:rPr>
          <w:rFonts w:hint="eastAsia"/>
          <w:sz w:val="24"/>
          <w:highlight w:val="none"/>
        </w:rPr>
        <w:t>违纪处分类别设置，管理人员可设置违纪、处分的名称、类别、级别等信息。</w:t>
      </w:r>
    </w:p>
    <w:p>
      <w:pPr>
        <w:pStyle w:val="12"/>
        <w:numPr>
          <w:ilvl w:val="0"/>
          <w:numId w:val="13"/>
        </w:numPr>
        <w:spacing w:line="360" w:lineRule="auto"/>
        <w:ind w:firstLineChars="0"/>
        <w:rPr>
          <w:sz w:val="24"/>
          <w:highlight w:val="none"/>
        </w:rPr>
      </w:pPr>
      <w:r>
        <w:rPr>
          <w:rFonts w:hint="eastAsia"/>
          <w:sz w:val="24"/>
          <w:highlight w:val="none"/>
        </w:rPr>
        <w:t>违纪处分上报，业务管理人员可上报学生违纪并申请下达处分，可按照不同类型的处分进行逐级流转，支持或签、会签。处分决定通过后自动记录并留档，同时对于不需要逐级审核的违纪处分，支持模板批量导入</w:t>
      </w:r>
      <w:r>
        <w:rPr>
          <w:rFonts w:hint="eastAsia"/>
          <w:sz w:val="24"/>
          <w:highlight w:val="none"/>
          <w:lang w:eastAsia="zh-CN"/>
        </w:rPr>
        <w:t>、批量删除</w:t>
      </w:r>
      <w:r>
        <w:rPr>
          <w:rFonts w:hint="eastAsia"/>
          <w:sz w:val="24"/>
          <w:highlight w:val="none"/>
        </w:rPr>
        <w:t>。</w:t>
      </w:r>
    </w:p>
    <w:p>
      <w:pPr>
        <w:pStyle w:val="12"/>
        <w:numPr>
          <w:ilvl w:val="0"/>
          <w:numId w:val="13"/>
        </w:numPr>
        <w:spacing w:line="360" w:lineRule="auto"/>
        <w:ind w:firstLineChars="0"/>
        <w:rPr>
          <w:sz w:val="24"/>
          <w:highlight w:val="none"/>
        </w:rPr>
      </w:pPr>
      <w:r>
        <w:rPr>
          <w:rFonts w:hint="eastAsia"/>
          <w:sz w:val="24"/>
          <w:highlight w:val="none"/>
        </w:rPr>
        <w:t>违纪处分解除，如果学生的违纪处分有考察期，考察期期满后，符合解除条件的学生可在线申请违纪处分的解除，并可查看申请的审核进度。对应管理人员可进行审核。审核通过后系统自动接触该学生的违纪处分。</w:t>
      </w:r>
    </w:p>
    <w:p>
      <w:pPr>
        <w:pStyle w:val="12"/>
        <w:numPr>
          <w:ilvl w:val="0"/>
          <w:numId w:val="13"/>
        </w:numPr>
        <w:spacing w:line="360" w:lineRule="auto"/>
        <w:ind w:firstLineChars="0"/>
        <w:rPr>
          <w:sz w:val="24"/>
          <w:highlight w:val="none"/>
        </w:rPr>
      </w:pPr>
      <w:r>
        <w:rPr>
          <w:rFonts w:hint="eastAsia"/>
          <w:sz w:val="24"/>
          <w:highlight w:val="none"/>
        </w:rPr>
        <w:t>违纪处分查询，供有权限的人员查询自己所管辖范围内的学生违纪处分情况。</w:t>
      </w:r>
    </w:p>
    <w:p>
      <w:pPr>
        <w:pStyle w:val="12"/>
        <w:numPr>
          <w:ilvl w:val="0"/>
          <w:numId w:val="13"/>
        </w:numPr>
        <w:spacing w:line="360" w:lineRule="auto"/>
        <w:ind w:firstLineChars="0"/>
        <w:rPr>
          <w:sz w:val="24"/>
          <w:highlight w:val="none"/>
        </w:rPr>
      </w:pPr>
      <w:r>
        <w:rPr>
          <w:rFonts w:hint="eastAsia"/>
          <w:sz w:val="24"/>
          <w:highlight w:val="none"/>
        </w:rPr>
        <w:t>处分结果打印，可打印获违纪处分学生证明文件以留档，支持学校自定义模板。</w:t>
      </w:r>
    </w:p>
    <w:p>
      <w:pPr>
        <w:pStyle w:val="12"/>
        <w:numPr>
          <w:ilvl w:val="0"/>
          <w:numId w:val="13"/>
        </w:numPr>
        <w:spacing w:line="360" w:lineRule="auto"/>
        <w:ind w:firstLineChars="0"/>
        <w:rPr>
          <w:sz w:val="24"/>
          <w:highlight w:val="none"/>
        </w:rPr>
      </w:pPr>
      <w:r>
        <w:rPr>
          <w:rFonts w:hint="eastAsia"/>
          <w:sz w:val="24"/>
          <w:highlight w:val="none"/>
        </w:rPr>
        <w:t>学生个人违纪查看，学生可查看自己违纪处分记录。</w:t>
      </w:r>
    </w:p>
    <w:p>
      <w:pPr>
        <w:pStyle w:val="12"/>
        <w:numPr>
          <w:ilvl w:val="0"/>
          <w:numId w:val="13"/>
        </w:numPr>
        <w:spacing w:line="360" w:lineRule="auto"/>
        <w:ind w:firstLineChars="0"/>
        <w:rPr>
          <w:sz w:val="24"/>
          <w:highlight w:val="none"/>
        </w:rPr>
      </w:pPr>
      <w:r>
        <w:rPr>
          <w:rFonts w:hint="eastAsia"/>
          <w:sz w:val="24"/>
          <w:highlight w:val="none"/>
        </w:rPr>
        <w:t>违纪处分查询统计，各级管理人员可以对自己管辖范围内学生的违纪处分信息进行明细查询、统计结果导出保存。</w:t>
      </w:r>
    </w:p>
    <w:p>
      <w:pPr>
        <w:numPr>
          <w:ilvl w:val="0"/>
          <w:numId w:val="8"/>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困难生认定，主要解决困难生认定及后期的信息维护管理工作，为评奖、评优、资助等业务的开展提供数据支持。</w:t>
      </w:r>
    </w:p>
    <w:p>
      <w:pPr>
        <w:pStyle w:val="12"/>
        <w:numPr>
          <w:ilvl w:val="0"/>
          <w:numId w:val="14"/>
        </w:numPr>
        <w:spacing w:line="360" w:lineRule="auto"/>
        <w:ind w:firstLineChars="0"/>
        <w:rPr>
          <w:sz w:val="24"/>
          <w:highlight w:val="none"/>
        </w:rPr>
      </w:pPr>
      <w:r>
        <w:rPr>
          <w:rFonts w:hint="eastAsia"/>
          <w:sz w:val="24"/>
          <w:highlight w:val="none"/>
        </w:rPr>
        <w:t>基础设置，应用提供对于困难生认定的基本设置功能。</w:t>
      </w:r>
    </w:p>
    <w:p>
      <w:pPr>
        <w:pStyle w:val="12"/>
        <w:numPr>
          <w:ilvl w:val="0"/>
          <w:numId w:val="14"/>
        </w:numPr>
        <w:spacing w:line="360" w:lineRule="auto"/>
        <w:ind w:firstLineChars="0"/>
        <w:rPr>
          <w:sz w:val="24"/>
          <w:highlight w:val="none"/>
        </w:rPr>
      </w:pPr>
      <w:r>
        <w:rPr>
          <w:rFonts w:hint="eastAsia"/>
          <w:sz w:val="24"/>
          <w:highlight w:val="none"/>
        </w:rPr>
        <w:t>认定设置：管理员可根据学校和上级要求配置符合要求的申请表、申请审核流程；设定认定学年、开放时间等。</w:t>
      </w:r>
    </w:p>
    <w:p>
      <w:pPr>
        <w:pStyle w:val="12"/>
        <w:numPr>
          <w:ilvl w:val="0"/>
          <w:numId w:val="14"/>
        </w:numPr>
        <w:spacing w:line="360" w:lineRule="auto"/>
        <w:ind w:firstLineChars="0"/>
        <w:rPr>
          <w:sz w:val="24"/>
          <w:highlight w:val="none"/>
        </w:rPr>
      </w:pPr>
      <w:r>
        <w:rPr>
          <w:rFonts w:hint="eastAsia"/>
          <w:sz w:val="24"/>
          <w:highlight w:val="none"/>
        </w:rPr>
        <w:t>家庭困难类型：管理人员灵活配置家庭困难类型、设置困难类型申请资料要求等；</w:t>
      </w:r>
    </w:p>
    <w:p>
      <w:pPr>
        <w:pStyle w:val="12"/>
        <w:numPr>
          <w:ilvl w:val="0"/>
          <w:numId w:val="14"/>
        </w:numPr>
        <w:spacing w:line="360" w:lineRule="auto"/>
        <w:ind w:firstLineChars="0"/>
        <w:rPr>
          <w:sz w:val="24"/>
          <w:highlight w:val="none"/>
        </w:rPr>
      </w:pPr>
      <w:r>
        <w:rPr>
          <w:rFonts w:hint="eastAsia"/>
          <w:sz w:val="24"/>
          <w:highlight w:val="none"/>
        </w:rPr>
        <w:t>困难生认定，学生可在学校规定的申请时间内网上填写困难生认定表格上的相关信息申请认定。申请提交后可查看申请的处理进度。</w:t>
      </w:r>
    </w:p>
    <w:p>
      <w:pPr>
        <w:pStyle w:val="12"/>
        <w:numPr>
          <w:ilvl w:val="0"/>
          <w:numId w:val="14"/>
        </w:numPr>
        <w:spacing w:line="360" w:lineRule="auto"/>
        <w:ind w:firstLineChars="0"/>
        <w:rPr>
          <w:sz w:val="24"/>
          <w:highlight w:val="none"/>
        </w:rPr>
      </w:pPr>
      <w:r>
        <w:rPr>
          <w:rFonts w:hint="eastAsia"/>
          <w:sz w:val="24"/>
          <w:highlight w:val="none"/>
        </w:rPr>
        <w:t>困难生审核，根据之前的审核流程配置，各级管理人员可对所负责学生的困难生申请信息进行审核，应用支持批量审核。</w:t>
      </w:r>
    </w:p>
    <w:p>
      <w:pPr>
        <w:pStyle w:val="12"/>
        <w:numPr>
          <w:ilvl w:val="0"/>
          <w:numId w:val="14"/>
        </w:numPr>
        <w:spacing w:line="360" w:lineRule="auto"/>
        <w:ind w:firstLineChars="0"/>
        <w:rPr>
          <w:sz w:val="24"/>
          <w:highlight w:val="none"/>
        </w:rPr>
      </w:pPr>
      <w:r>
        <w:rPr>
          <w:rFonts w:hint="eastAsia"/>
          <w:sz w:val="24"/>
          <w:highlight w:val="none"/>
        </w:rPr>
        <w:t>认定结果打印，管理员对于审核通过的认定申请，可配置打印模板，一键打印出制式表格以留档或上报。</w:t>
      </w:r>
    </w:p>
    <w:p>
      <w:pPr>
        <w:pStyle w:val="12"/>
        <w:numPr>
          <w:ilvl w:val="0"/>
          <w:numId w:val="14"/>
        </w:numPr>
        <w:spacing w:line="360" w:lineRule="auto"/>
        <w:ind w:firstLineChars="0"/>
        <w:rPr>
          <w:sz w:val="24"/>
          <w:highlight w:val="none"/>
        </w:rPr>
      </w:pPr>
      <w:r>
        <w:rPr>
          <w:rFonts w:hint="eastAsia"/>
          <w:sz w:val="24"/>
          <w:highlight w:val="none"/>
        </w:rPr>
        <w:t>受助情况，学校相关业务管理人员可以快速按学生受助金额范围，学年，困难生类型查询到困难生库中的困难生获得资助的明细情况，并可将相关数据导出。</w:t>
      </w:r>
    </w:p>
    <w:p>
      <w:pPr>
        <w:pStyle w:val="12"/>
        <w:numPr>
          <w:ilvl w:val="0"/>
          <w:numId w:val="14"/>
        </w:numPr>
        <w:spacing w:line="360" w:lineRule="auto"/>
        <w:ind w:firstLineChars="0"/>
        <w:rPr>
          <w:sz w:val="24"/>
          <w:highlight w:val="none"/>
        </w:rPr>
      </w:pPr>
      <w:r>
        <w:rPr>
          <w:rFonts w:hint="eastAsia"/>
          <w:sz w:val="24"/>
          <w:highlight w:val="none"/>
        </w:rPr>
        <w:t>困难生查询统计，各级管理人员可以对自己管辖范围内学生的困难生信息进行明细查询、统计结果导出保存。</w:t>
      </w:r>
    </w:p>
    <w:p>
      <w:pPr>
        <w:pStyle w:val="12"/>
        <w:numPr>
          <w:ilvl w:val="0"/>
          <w:numId w:val="8"/>
        </w:numPr>
        <w:spacing w:line="360" w:lineRule="auto"/>
        <w:ind w:firstLine="0" w:firstLineChars="0"/>
        <w:rPr>
          <w:sz w:val="24"/>
          <w:highlight w:val="none"/>
        </w:rPr>
      </w:pPr>
      <w:r>
        <w:rPr>
          <w:rFonts w:hint="eastAsia" w:ascii="微软雅黑" w:hAnsi="微软雅黑" w:eastAsia="微软雅黑" w:cs="微软雅黑"/>
          <w:kern w:val="0"/>
          <w:sz w:val="24"/>
          <w:highlight w:val="none"/>
        </w:rPr>
        <w:t>★</w:t>
      </w:r>
      <w:r>
        <w:rPr>
          <w:rFonts w:hint="eastAsia"/>
          <w:sz w:val="24"/>
          <w:highlight w:val="none"/>
        </w:rPr>
        <w:t>助学金，主要解决线下奖学金评定过程中周期长、过程不透明、痕迹无留存；进度无反馈、出现问题核对繁琐的问题。助学金应用可与困难生信息库、综合测评和违纪处分应用联动，实现申请的自动审核和过滤，对于过程中填报的内容也可自动审核，提高流程运转速度，减少管理人员的工作量。同时通过为学生提供在线的申请和查看通道，也能够解决原有信息传达性不足，学生无法及时了解助学金申请的情况。其中的数据统计和结果打印功能也可满足管理人员数据上报和留存的需求。</w:t>
      </w:r>
    </w:p>
    <w:p>
      <w:pPr>
        <w:pStyle w:val="12"/>
        <w:numPr>
          <w:ilvl w:val="0"/>
          <w:numId w:val="14"/>
        </w:numPr>
        <w:spacing w:line="360" w:lineRule="auto"/>
        <w:ind w:firstLineChars="0"/>
        <w:rPr>
          <w:sz w:val="24"/>
          <w:highlight w:val="none"/>
        </w:rPr>
      </w:pPr>
      <w:r>
        <w:rPr>
          <w:rFonts w:hint="eastAsia"/>
          <w:sz w:val="24"/>
          <w:highlight w:val="none"/>
        </w:rPr>
        <w:t>助学金设置，各项助学金的新增和管理，如国家助学金、校内助学金、单项助学金等。管理员可设置助学金的基本信息、申请表单、评定规则、申请流程、评选条件等。</w:t>
      </w:r>
    </w:p>
    <w:p>
      <w:pPr>
        <w:pStyle w:val="12"/>
        <w:numPr>
          <w:ilvl w:val="0"/>
          <w:numId w:val="14"/>
        </w:numPr>
        <w:spacing w:line="360" w:lineRule="auto"/>
        <w:ind w:firstLineChars="0"/>
        <w:rPr>
          <w:sz w:val="24"/>
          <w:highlight w:val="none"/>
        </w:rPr>
      </w:pPr>
      <w:r>
        <w:rPr>
          <w:rFonts w:hint="eastAsia"/>
          <w:sz w:val="24"/>
          <w:highlight w:val="none"/>
        </w:rPr>
        <w:t>助学金基础信息管理：编辑名称、类别、级别、金额等基本信息。</w:t>
      </w:r>
    </w:p>
    <w:p>
      <w:pPr>
        <w:pStyle w:val="12"/>
        <w:numPr>
          <w:ilvl w:val="0"/>
          <w:numId w:val="14"/>
        </w:numPr>
        <w:spacing w:line="360" w:lineRule="auto"/>
        <w:ind w:firstLineChars="0"/>
        <w:rPr>
          <w:sz w:val="24"/>
          <w:highlight w:val="none"/>
        </w:rPr>
      </w:pPr>
      <w:r>
        <w:rPr>
          <w:rFonts w:hint="eastAsia"/>
          <w:sz w:val="24"/>
          <w:highlight w:val="none"/>
        </w:rPr>
        <w:t>评选条件设置：根据助学金的实际申请及评定条件要求</w:t>
      </w:r>
      <w:r>
        <w:rPr>
          <w:sz w:val="24"/>
          <w:highlight w:val="none"/>
        </w:rPr>
        <w:t>,</w:t>
      </w:r>
      <w:r>
        <w:rPr>
          <w:rFonts w:hint="eastAsia"/>
          <w:sz w:val="24"/>
          <w:highlight w:val="none"/>
        </w:rPr>
        <w:t>在应用中进行配置。如家庭特困、建档立卡、综合测评必须达到</w:t>
      </w:r>
      <w:r>
        <w:rPr>
          <w:sz w:val="24"/>
          <w:highlight w:val="none"/>
        </w:rPr>
        <w:t>85</w:t>
      </w:r>
      <w:r>
        <w:rPr>
          <w:rFonts w:hint="eastAsia"/>
          <w:sz w:val="24"/>
          <w:highlight w:val="none"/>
        </w:rPr>
        <w:t>分、无违纪处分记录、无挂科现象等。</w:t>
      </w:r>
    </w:p>
    <w:p>
      <w:pPr>
        <w:pStyle w:val="12"/>
        <w:numPr>
          <w:ilvl w:val="0"/>
          <w:numId w:val="14"/>
        </w:numPr>
        <w:spacing w:line="360" w:lineRule="auto"/>
        <w:ind w:firstLineChars="0"/>
        <w:rPr>
          <w:sz w:val="24"/>
          <w:highlight w:val="none"/>
        </w:rPr>
      </w:pPr>
      <w:r>
        <w:rPr>
          <w:rFonts w:hint="eastAsia"/>
          <w:sz w:val="24"/>
          <w:highlight w:val="none"/>
        </w:rPr>
        <w:t>申请表设置：根据每类助学金的实际申请填写材料要求</w:t>
      </w:r>
      <w:r>
        <w:rPr>
          <w:sz w:val="24"/>
          <w:highlight w:val="none"/>
        </w:rPr>
        <w:t>,</w:t>
      </w:r>
      <w:r>
        <w:rPr>
          <w:rFonts w:hint="eastAsia"/>
          <w:sz w:val="24"/>
          <w:highlight w:val="none"/>
        </w:rPr>
        <w:t>在应用中进行配置。支持下拉框、单选、多选、附件上传等。</w:t>
      </w:r>
    </w:p>
    <w:p>
      <w:pPr>
        <w:pStyle w:val="12"/>
        <w:numPr>
          <w:ilvl w:val="0"/>
          <w:numId w:val="14"/>
        </w:numPr>
        <w:spacing w:line="360" w:lineRule="auto"/>
        <w:ind w:firstLineChars="0"/>
        <w:rPr>
          <w:sz w:val="24"/>
          <w:highlight w:val="none"/>
        </w:rPr>
      </w:pPr>
      <w:r>
        <w:rPr>
          <w:rFonts w:hint="eastAsia"/>
          <w:sz w:val="24"/>
          <w:highlight w:val="none"/>
        </w:rPr>
        <w:t>审核流程设置：根据学校的实际管理要求，为每个助学金设置审核流程；支持按照角色、组织机构流转；支持会签、或签操作。</w:t>
      </w:r>
    </w:p>
    <w:p>
      <w:pPr>
        <w:pStyle w:val="12"/>
        <w:numPr>
          <w:ilvl w:val="0"/>
          <w:numId w:val="14"/>
        </w:numPr>
        <w:spacing w:line="360" w:lineRule="auto"/>
        <w:ind w:firstLineChars="0"/>
        <w:rPr>
          <w:sz w:val="24"/>
          <w:highlight w:val="none"/>
        </w:rPr>
      </w:pPr>
      <w:r>
        <w:rPr>
          <w:rFonts w:hint="eastAsia"/>
          <w:sz w:val="24"/>
          <w:highlight w:val="none"/>
        </w:rPr>
        <w:t>打印模板设置：根据学校的实际管理要求，为每个助学金设置打印模板；模板设定上传</w:t>
      </w:r>
      <w:r>
        <w:rPr>
          <w:sz w:val="24"/>
          <w:highlight w:val="none"/>
        </w:rPr>
        <w:t>word</w:t>
      </w:r>
      <w:r>
        <w:rPr>
          <w:rFonts w:hint="eastAsia"/>
          <w:sz w:val="24"/>
          <w:highlight w:val="none"/>
        </w:rPr>
        <w:t>格式文件即可，无需复杂调试。</w:t>
      </w:r>
    </w:p>
    <w:p>
      <w:pPr>
        <w:pStyle w:val="12"/>
        <w:numPr>
          <w:ilvl w:val="0"/>
          <w:numId w:val="14"/>
        </w:numPr>
        <w:spacing w:line="360" w:lineRule="auto"/>
        <w:ind w:firstLineChars="0"/>
        <w:rPr>
          <w:sz w:val="24"/>
          <w:highlight w:val="none"/>
        </w:rPr>
      </w:pPr>
      <w:r>
        <w:rPr>
          <w:rFonts w:hint="eastAsia"/>
          <w:sz w:val="24"/>
          <w:highlight w:val="none"/>
        </w:rPr>
        <w:t>不可兼得设置，为学校管理人员提供维护各个助学金之间兼得关系的功能，可根据学校具体助学金兼得要求进行灵活的设置。</w:t>
      </w:r>
    </w:p>
    <w:p>
      <w:pPr>
        <w:pStyle w:val="12"/>
        <w:numPr>
          <w:ilvl w:val="0"/>
          <w:numId w:val="14"/>
        </w:numPr>
        <w:spacing w:line="360" w:lineRule="auto"/>
        <w:ind w:firstLineChars="0"/>
        <w:rPr>
          <w:sz w:val="24"/>
          <w:highlight w:val="none"/>
        </w:rPr>
      </w:pPr>
      <w:r>
        <w:rPr>
          <w:rFonts w:hint="eastAsia"/>
          <w:sz w:val="24"/>
          <w:highlight w:val="none"/>
        </w:rPr>
        <w:t>助学金申请，学生可见当前学校开通的所有助学金种类，选中自己希望获得的助学金，然后提交申请，对于不符合条件的学生，应用会给出相关不符合申请条件的提示。申请提出后，学生可查看申请的处理进度。</w:t>
      </w:r>
    </w:p>
    <w:p>
      <w:pPr>
        <w:pStyle w:val="12"/>
        <w:numPr>
          <w:ilvl w:val="0"/>
          <w:numId w:val="14"/>
        </w:numPr>
        <w:spacing w:line="360" w:lineRule="auto"/>
        <w:ind w:firstLineChars="0"/>
        <w:rPr>
          <w:sz w:val="24"/>
          <w:highlight w:val="none"/>
        </w:rPr>
      </w:pPr>
      <w:r>
        <w:rPr>
          <w:rFonts w:hint="eastAsia"/>
          <w:sz w:val="24"/>
          <w:highlight w:val="none"/>
        </w:rPr>
        <w:t>助学金审核，根据各助学金预设的流程，班主任或辅导员、院系负责人、校级负责人可对所负责学生的助学金申请信息进行审核，应用支持批量审核。同时提供审核统计功能，方便学校以院系为维度，院系、辅导员、班主任以班级或专业为维度，通过表格或者图形方式查看审核汇总情况，可以做批量审核操作。</w:t>
      </w:r>
    </w:p>
    <w:p>
      <w:pPr>
        <w:pStyle w:val="12"/>
        <w:numPr>
          <w:ilvl w:val="0"/>
          <w:numId w:val="14"/>
        </w:numPr>
        <w:spacing w:line="360" w:lineRule="auto"/>
        <w:ind w:firstLineChars="0"/>
        <w:rPr>
          <w:sz w:val="24"/>
          <w:highlight w:val="none"/>
        </w:rPr>
      </w:pPr>
      <w:r>
        <w:rPr>
          <w:rFonts w:hint="eastAsia"/>
          <w:sz w:val="24"/>
          <w:highlight w:val="none"/>
        </w:rPr>
        <w:t>管理人员可在线查看学生的助学金申请表，同时应用支持证明材料附件的在线预览。</w:t>
      </w:r>
    </w:p>
    <w:p>
      <w:pPr>
        <w:pStyle w:val="12"/>
        <w:numPr>
          <w:ilvl w:val="0"/>
          <w:numId w:val="14"/>
        </w:numPr>
        <w:spacing w:line="360" w:lineRule="auto"/>
        <w:ind w:firstLineChars="0"/>
        <w:rPr>
          <w:sz w:val="24"/>
          <w:highlight w:val="none"/>
        </w:rPr>
      </w:pPr>
      <w:r>
        <w:rPr>
          <w:rFonts w:hint="eastAsia"/>
          <w:sz w:val="24"/>
          <w:highlight w:val="none"/>
        </w:rPr>
        <w:t>助学金查询，具有权限的老师可按条件查看助学金认定相关信息。</w:t>
      </w:r>
    </w:p>
    <w:p>
      <w:pPr>
        <w:pStyle w:val="12"/>
        <w:numPr>
          <w:ilvl w:val="0"/>
          <w:numId w:val="14"/>
        </w:numPr>
        <w:spacing w:line="360" w:lineRule="auto"/>
        <w:ind w:firstLineChars="0"/>
        <w:rPr>
          <w:sz w:val="24"/>
          <w:highlight w:val="none"/>
        </w:rPr>
      </w:pPr>
      <w:r>
        <w:rPr>
          <w:rFonts w:hint="eastAsia"/>
          <w:sz w:val="24"/>
          <w:highlight w:val="none"/>
        </w:rPr>
        <w:t>助学金结果打印，可打印获助学金证明文件以留档，支持学校自定义模板。</w:t>
      </w:r>
    </w:p>
    <w:p>
      <w:pPr>
        <w:pStyle w:val="12"/>
        <w:numPr>
          <w:ilvl w:val="0"/>
          <w:numId w:val="14"/>
        </w:numPr>
        <w:spacing w:line="360" w:lineRule="auto"/>
        <w:ind w:firstLineChars="0"/>
        <w:rPr>
          <w:sz w:val="24"/>
          <w:highlight w:val="none"/>
        </w:rPr>
      </w:pPr>
      <w:r>
        <w:rPr>
          <w:rFonts w:hint="eastAsia"/>
          <w:sz w:val="24"/>
          <w:highlight w:val="none"/>
        </w:rPr>
        <w:t>助学金发放表，按照预设好的奖学金金额可生成助学金发放表，包含学号、姓名、身份证号、银行卡号、评定等级、应发金额等信息，减少老师的统计工作。</w:t>
      </w:r>
    </w:p>
    <w:p>
      <w:pPr>
        <w:pStyle w:val="12"/>
        <w:numPr>
          <w:ilvl w:val="0"/>
          <w:numId w:val="14"/>
        </w:numPr>
        <w:spacing w:line="360" w:lineRule="auto"/>
        <w:ind w:firstLineChars="0"/>
        <w:rPr>
          <w:sz w:val="24"/>
          <w:highlight w:val="none"/>
        </w:rPr>
      </w:pPr>
      <w:r>
        <w:rPr>
          <w:rFonts w:hint="eastAsia"/>
          <w:sz w:val="24"/>
          <w:highlight w:val="none"/>
        </w:rPr>
        <w:t>助学金查询统计，各级管理人员可以对自己管辖范围内学生的助学金信息进行明细查询、统计结果导出保存。</w:t>
      </w:r>
    </w:p>
    <w:p>
      <w:pPr>
        <w:numPr>
          <w:ilvl w:val="0"/>
          <w:numId w:val="8"/>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勤工俭学，主要解决对勤工俭学的岗位管理、上岗审核及报酬发放等工作。</w:t>
      </w:r>
    </w:p>
    <w:p>
      <w:pPr>
        <w:pStyle w:val="12"/>
        <w:numPr>
          <w:ilvl w:val="0"/>
          <w:numId w:val="15"/>
        </w:numPr>
        <w:spacing w:line="360" w:lineRule="auto"/>
        <w:ind w:firstLineChars="0"/>
        <w:rPr>
          <w:sz w:val="24"/>
          <w:highlight w:val="none"/>
        </w:rPr>
      </w:pPr>
      <w:r>
        <w:rPr>
          <w:rFonts w:hint="eastAsia"/>
          <w:sz w:val="24"/>
          <w:highlight w:val="none"/>
        </w:rPr>
        <w:t>用工岗位管理，学校管理人员可以设定用工岗位信息，如：名称、人数、条件等。</w:t>
      </w:r>
    </w:p>
    <w:p>
      <w:pPr>
        <w:pStyle w:val="12"/>
        <w:numPr>
          <w:ilvl w:val="0"/>
          <w:numId w:val="15"/>
        </w:numPr>
        <w:spacing w:line="360" w:lineRule="auto"/>
        <w:ind w:firstLineChars="0"/>
        <w:rPr>
          <w:sz w:val="24"/>
          <w:highlight w:val="none"/>
        </w:rPr>
      </w:pPr>
      <w:r>
        <w:rPr>
          <w:rFonts w:hint="eastAsia"/>
          <w:sz w:val="24"/>
          <w:highlight w:val="none"/>
        </w:rPr>
        <w:t>学生上岗申请，学生可针对学校开放的岗位进行申请，学生申请时，受到岗位上设定的条件限制。申请提交后，可查看申请审核的进度。</w:t>
      </w:r>
    </w:p>
    <w:p>
      <w:pPr>
        <w:pStyle w:val="12"/>
        <w:numPr>
          <w:ilvl w:val="0"/>
          <w:numId w:val="15"/>
        </w:numPr>
        <w:spacing w:line="360" w:lineRule="auto"/>
        <w:ind w:firstLineChars="0"/>
        <w:rPr>
          <w:sz w:val="24"/>
          <w:highlight w:val="none"/>
        </w:rPr>
      </w:pPr>
      <w:r>
        <w:rPr>
          <w:rFonts w:hint="eastAsia"/>
          <w:sz w:val="24"/>
          <w:highlight w:val="none"/>
        </w:rPr>
        <w:t>上岗申请审核，学生申请后用工单位和学校进行审核，最终确定学生的上岗信息。用工单位和学生处也可自行终止或添加上岗的学生信息（受人数限定）。</w:t>
      </w:r>
    </w:p>
    <w:p>
      <w:pPr>
        <w:pStyle w:val="12"/>
        <w:numPr>
          <w:ilvl w:val="0"/>
          <w:numId w:val="15"/>
        </w:numPr>
        <w:spacing w:line="360" w:lineRule="auto"/>
        <w:ind w:firstLineChars="0"/>
        <w:rPr>
          <w:sz w:val="24"/>
          <w:highlight w:val="none"/>
        </w:rPr>
      </w:pPr>
      <w:r>
        <w:rPr>
          <w:rFonts w:hint="eastAsia"/>
          <w:sz w:val="24"/>
          <w:highlight w:val="none"/>
        </w:rPr>
        <w:t>在岗学生查询，相关业务老师可以查询当前在岗的学生信息。</w:t>
      </w:r>
    </w:p>
    <w:p>
      <w:pPr>
        <w:pStyle w:val="12"/>
        <w:numPr>
          <w:ilvl w:val="0"/>
          <w:numId w:val="15"/>
        </w:numPr>
        <w:spacing w:line="360" w:lineRule="auto"/>
        <w:ind w:firstLineChars="0"/>
        <w:rPr>
          <w:sz w:val="24"/>
          <w:highlight w:val="none"/>
        </w:rPr>
      </w:pPr>
      <w:r>
        <w:rPr>
          <w:rFonts w:hint="eastAsia"/>
          <w:sz w:val="24"/>
          <w:highlight w:val="none"/>
        </w:rPr>
        <w:t>工作情况记录，业务老师可通过应用记录学生的到岗情况。</w:t>
      </w:r>
    </w:p>
    <w:p>
      <w:pPr>
        <w:pStyle w:val="12"/>
        <w:numPr>
          <w:ilvl w:val="0"/>
          <w:numId w:val="15"/>
        </w:numPr>
        <w:spacing w:line="360" w:lineRule="auto"/>
        <w:ind w:firstLineChars="0"/>
        <w:rPr>
          <w:sz w:val="24"/>
          <w:highlight w:val="none"/>
        </w:rPr>
      </w:pPr>
      <w:r>
        <w:rPr>
          <w:rFonts w:hint="eastAsia"/>
          <w:sz w:val="24"/>
          <w:highlight w:val="none"/>
        </w:rPr>
        <w:t>岗位薪酬导入，用工单位负责老师可以根据工作情况导入当月勤工俭学报酬。</w:t>
      </w:r>
    </w:p>
    <w:p>
      <w:pPr>
        <w:pStyle w:val="12"/>
        <w:numPr>
          <w:ilvl w:val="0"/>
          <w:numId w:val="15"/>
        </w:numPr>
        <w:spacing w:line="360" w:lineRule="auto"/>
        <w:ind w:firstLineChars="0"/>
        <w:rPr>
          <w:sz w:val="24"/>
          <w:highlight w:val="none"/>
        </w:rPr>
      </w:pPr>
      <w:r>
        <w:rPr>
          <w:rFonts w:hint="eastAsia"/>
          <w:sz w:val="24"/>
          <w:highlight w:val="none"/>
        </w:rPr>
        <w:t>个人薪酬查询，学生可查询个人的报酬发放情况。</w:t>
      </w:r>
    </w:p>
    <w:p>
      <w:pPr>
        <w:pStyle w:val="12"/>
        <w:numPr>
          <w:ilvl w:val="0"/>
          <w:numId w:val="15"/>
        </w:numPr>
        <w:spacing w:line="360" w:lineRule="auto"/>
        <w:ind w:firstLineChars="0"/>
        <w:rPr>
          <w:sz w:val="24"/>
          <w:highlight w:val="none"/>
        </w:rPr>
      </w:pPr>
      <w:r>
        <w:rPr>
          <w:rFonts w:hint="eastAsia"/>
          <w:sz w:val="24"/>
          <w:highlight w:val="none"/>
        </w:rPr>
        <w:t>勤工俭学统计，各级管理人员可以对自己管辖范围内的学生勤工俭学上岗信息及报酬发放信息进行明细查询、统计结果导出保存。</w:t>
      </w:r>
    </w:p>
    <w:p>
      <w:pPr>
        <w:numPr>
          <w:ilvl w:val="0"/>
          <w:numId w:val="8"/>
        </w:numPr>
        <w:spacing w:line="360" w:lineRule="auto"/>
        <w:rPr>
          <w:sz w:val="24"/>
          <w:highlight w:val="none"/>
        </w:rPr>
      </w:pPr>
      <w:r>
        <w:rPr>
          <w:rFonts w:hint="eastAsia"/>
          <w:sz w:val="24"/>
          <w:highlight w:val="none"/>
        </w:rPr>
        <w:t>困难补助，主要解决以往评定过程中工作复杂、流程不透明的问题，在应用中可灵活设置各个奖种的评定条件、评定流程以及各个院系的分配名额，能够促进整体评定过程更为有序、可控的进行，评定结束后可为管理人员自动生成困难补助业务的统计分析及相应报表，大大减轻日常数据汇总和调整的工作量。</w:t>
      </w:r>
    </w:p>
    <w:p>
      <w:pPr>
        <w:pStyle w:val="12"/>
        <w:numPr>
          <w:ilvl w:val="0"/>
          <w:numId w:val="16"/>
        </w:numPr>
        <w:spacing w:line="360" w:lineRule="auto"/>
        <w:ind w:firstLineChars="0"/>
        <w:rPr>
          <w:sz w:val="24"/>
          <w:highlight w:val="none"/>
        </w:rPr>
      </w:pPr>
      <w:r>
        <w:rPr>
          <w:rFonts w:hint="eastAsia"/>
          <w:sz w:val="24"/>
          <w:highlight w:val="none"/>
        </w:rPr>
        <w:t>困难补助种类管理，为学校管理人员提供困难补助种类配置的功能。管理人员在新建补助种类之后，可分别对每个种类的具体信息进行灵活的设置，包括基本信息、申请审核流程及公示、等级、评选条件、名额分配等。</w:t>
      </w:r>
    </w:p>
    <w:p>
      <w:pPr>
        <w:pStyle w:val="12"/>
        <w:numPr>
          <w:ilvl w:val="0"/>
          <w:numId w:val="17"/>
        </w:numPr>
        <w:spacing w:line="360" w:lineRule="auto"/>
        <w:ind w:firstLineChars="0"/>
        <w:rPr>
          <w:sz w:val="24"/>
          <w:highlight w:val="none"/>
        </w:rPr>
      </w:pPr>
      <w:r>
        <w:rPr>
          <w:rFonts w:hint="eastAsia"/>
          <w:sz w:val="24"/>
          <w:highlight w:val="none"/>
        </w:rPr>
        <w:t>学生困难补助申请，学生可见当前可申请（学校开通）的所有困难补助种类，选中自己希望获得的困难补助提交申请，对于不符合条件的学生，申请时直接提示学生“不符合申请条件”。申请提出后学生可随时查看申请的处理进度。</w:t>
      </w:r>
    </w:p>
    <w:p>
      <w:pPr>
        <w:pStyle w:val="12"/>
        <w:numPr>
          <w:ilvl w:val="0"/>
          <w:numId w:val="17"/>
        </w:numPr>
        <w:spacing w:line="360" w:lineRule="auto"/>
        <w:ind w:firstLineChars="0"/>
        <w:rPr>
          <w:sz w:val="24"/>
          <w:highlight w:val="none"/>
        </w:rPr>
      </w:pPr>
      <w:r>
        <w:rPr>
          <w:rFonts w:hint="eastAsia"/>
          <w:sz w:val="24"/>
          <w:highlight w:val="none"/>
        </w:rPr>
        <w:t>困难补助申请审核，根据各困难补助审核流程的配置，学校相关业务管理人员可对所负责学生的助学金申请信息进行审核，应用支持批量审核。</w:t>
      </w:r>
    </w:p>
    <w:p>
      <w:pPr>
        <w:pStyle w:val="12"/>
        <w:numPr>
          <w:ilvl w:val="0"/>
          <w:numId w:val="17"/>
        </w:numPr>
        <w:spacing w:line="360" w:lineRule="auto"/>
        <w:ind w:firstLineChars="0"/>
        <w:rPr>
          <w:sz w:val="24"/>
          <w:highlight w:val="none"/>
        </w:rPr>
      </w:pPr>
      <w:r>
        <w:rPr>
          <w:rFonts w:hint="eastAsia"/>
          <w:sz w:val="24"/>
          <w:highlight w:val="none"/>
        </w:rPr>
        <w:t>困难补助公示，困难补助评定工作完成之后，学生可在线查看困难补助评定的具体情况，以保证困难补助业务的公平、公正、公开。</w:t>
      </w:r>
    </w:p>
    <w:p>
      <w:pPr>
        <w:pStyle w:val="12"/>
        <w:numPr>
          <w:ilvl w:val="0"/>
          <w:numId w:val="17"/>
        </w:numPr>
        <w:spacing w:line="360" w:lineRule="auto"/>
        <w:ind w:firstLineChars="0"/>
        <w:rPr>
          <w:sz w:val="24"/>
          <w:highlight w:val="none"/>
        </w:rPr>
      </w:pPr>
      <w:r>
        <w:rPr>
          <w:rFonts w:hint="eastAsia"/>
          <w:sz w:val="24"/>
          <w:highlight w:val="none"/>
        </w:rPr>
        <w:t>困难补助查询，供其他关注该业务信息的老师查看困难补助评定相关信息。</w:t>
      </w:r>
    </w:p>
    <w:p>
      <w:pPr>
        <w:pStyle w:val="12"/>
        <w:numPr>
          <w:ilvl w:val="0"/>
          <w:numId w:val="17"/>
        </w:numPr>
        <w:spacing w:line="360" w:lineRule="auto"/>
        <w:ind w:firstLineChars="0"/>
        <w:rPr>
          <w:sz w:val="24"/>
          <w:highlight w:val="none"/>
        </w:rPr>
      </w:pPr>
      <w:r>
        <w:rPr>
          <w:rFonts w:hint="eastAsia"/>
          <w:sz w:val="24"/>
          <w:highlight w:val="none"/>
        </w:rPr>
        <w:t>困难补助应发汇总，为学校管理人员提供困难补助结果明细和应发金额、银行卡号等信息，可一键导出。</w:t>
      </w:r>
    </w:p>
    <w:p>
      <w:pPr>
        <w:pStyle w:val="12"/>
        <w:numPr>
          <w:ilvl w:val="0"/>
          <w:numId w:val="17"/>
        </w:numPr>
        <w:spacing w:line="360" w:lineRule="auto"/>
        <w:ind w:firstLineChars="0"/>
        <w:rPr>
          <w:sz w:val="24"/>
          <w:highlight w:val="none"/>
        </w:rPr>
      </w:pPr>
      <w:r>
        <w:rPr>
          <w:rFonts w:hint="eastAsia"/>
          <w:sz w:val="24"/>
          <w:highlight w:val="none"/>
        </w:rPr>
        <w:t>困难补助查询统计，各级管理人员（学生处管理人员、院系学工负责人）可以对自己管辖范围内学生的困难补助信息进行明细查询、表格统计、图形化统计、统计数据下钻等操作，可对结果导出保存打印。</w:t>
      </w:r>
    </w:p>
    <w:p>
      <w:pPr>
        <w:numPr>
          <w:ilvl w:val="0"/>
          <w:numId w:val="8"/>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心理咨询，主要解决学校心理咨询预约、档案记录的相关问题。</w:t>
      </w:r>
    </w:p>
    <w:p>
      <w:pPr>
        <w:spacing w:line="360" w:lineRule="auto"/>
        <w:rPr>
          <w:sz w:val="24"/>
          <w:highlight w:val="none"/>
        </w:rPr>
      </w:pPr>
      <w:r>
        <w:rPr>
          <w:rFonts w:hint="eastAsia"/>
          <w:sz w:val="24"/>
          <w:highlight w:val="none"/>
        </w:rPr>
        <w:t>预约规则设置，学校心理业务管理人员可对心理咨询师以及心理咨询师的排班情况进行维护和管理。对已经预约心理咨询的学生，心理业务管理人员可在预约管理界面中进行查询，业务管理人员可调整学生的咨询师、咨询日期、咨询时段并可在预约单中查询学生预约信息。</w:t>
      </w:r>
    </w:p>
    <w:p>
      <w:pPr>
        <w:pStyle w:val="12"/>
        <w:numPr>
          <w:ilvl w:val="0"/>
          <w:numId w:val="18"/>
        </w:numPr>
        <w:spacing w:line="360" w:lineRule="auto"/>
        <w:ind w:firstLineChars="0"/>
        <w:rPr>
          <w:sz w:val="24"/>
          <w:highlight w:val="none"/>
        </w:rPr>
      </w:pPr>
      <w:r>
        <w:rPr>
          <w:rFonts w:hint="eastAsia"/>
          <w:sz w:val="24"/>
          <w:highlight w:val="none"/>
        </w:rPr>
        <w:t>心理询师管理，学校相关业务管理人员可针对心理咨询师基本信息、擅长领域、每周每日可预约的时间进行管理。</w:t>
      </w:r>
    </w:p>
    <w:p>
      <w:pPr>
        <w:pStyle w:val="12"/>
        <w:numPr>
          <w:ilvl w:val="0"/>
          <w:numId w:val="18"/>
        </w:numPr>
        <w:spacing w:line="360" w:lineRule="auto"/>
        <w:ind w:firstLineChars="0"/>
        <w:rPr>
          <w:sz w:val="24"/>
          <w:highlight w:val="none"/>
        </w:rPr>
      </w:pPr>
      <w:r>
        <w:rPr>
          <w:rFonts w:hint="eastAsia"/>
          <w:sz w:val="24"/>
          <w:highlight w:val="none"/>
        </w:rPr>
        <w:t>咨询设置，学校相关业务管理人员可对预约最少提前天数，可预约天数，预约时长、预约个数，预约表单等。</w:t>
      </w:r>
    </w:p>
    <w:p>
      <w:pPr>
        <w:pStyle w:val="12"/>
        <w:numPr>
          <w:ilvl w:val="0"/>
          <w:numId w:val="18"/>
        </w:numPr>
        <w:spacing w:line="360" w:lineRule="auto"/>
        <w:ind w:firstLineChars="0"/>
        <w:rPr>
          <w:sz w:val="24"/>
          <w:highlight w:val="none"/>
        </w:rPr>
      </w:pPr>
      <w:r>
        <w:rPr>
          <w:rFonts w:hint="eastAsia"/>
          <w:sz w:val="24"/>
          <w:highlight w:val="none"/>
        </w:rPr>
        <w:t>心理咨询预约，学生可查看自己所在校区的心理咨询师的基本信息及可预约的时间段，并可选择自己想要预约的心理咨询师进行心理咨询预约登记，预约提交后可在我的预约中查看过往预约记录。</w:t>
      </w:r>
    </w:p>
    <w:p>
      <w:pPr>
        <w:pStyle w:val="12"/>
        <w:numPr>
          <w:ilvl w:val="0"/>
          <w:numId w:val="18"/>
        </w:numPr>
        <w:spacing w:line="360" w:lineRule="auto"/>
        <w:ind w:firstLineChars="0"/>
        <w:rPr>
          <w:sz w:val="24"/>
          <w:highlight w:val="none"/>
        </w:rPr>
      </w:pPr>
      <w:r>
        <w:rPr>
          <w:rFonts w:hint="eastAsia"/>
          <w:sz w:val="24"/>
          <w:highlight w:val="none"/>
        </w:rPr>
        <w:t>咨询预约管理，学生心理咨询预约申请提交之后，心理咨询师可在线查询到学生的预约详情信息。学生咨询结束后，心理咨询师可针对咨询的情况进行登记。</w:t>
      </w:r>
    </w:p>
    <w:p>
      <w:pPr>
        <w:numPr>
          <w:ilvl w:val="0"/>
          <w:numId w:val="8"/>
        </w:numPr>
        <w:spacing w:line="360" w:lineRule="auto"/>
        <w:rPr>
          <w:sz w:val="24"/>
          <w:highlight w:val="none"/>
        </w:rPr>
      </w:pPr>
      <w:r>
        <w:rPr>
          <w:rFonts w:hint="eastAsia"/>
          <w:sz w:val="24"/>
          <w:highlight w:val="none"/>
        </w:rPr>
        <w:t>心理档案，主要将学生的心理咨询信息、心理普查信息、心理测试信息等进行汇总，方便相关业务老师进行查阅。</w:t>
      </w:r>
    </w:p>
    <w:p>
      <w:pPr>
        <w:pStyle w:val="12"/>
        <w:numPr>
          <w:ilvl w:val="0"/>
          <w:numId w:val="19"/>
        </w:numPr>
        <w:spacing w:line="360" w:lineRule="auto"/>
        <w:ind w:firstLineChars="0"/>
        <w:rPr>
          <w:sz w:val="24"/>
          <w:highlight w:val="none"/>
        </w:rPr>
      </w:pPr>
      <w:r>
        <w:rPr>
          <w:rFonts w:hint="eastAsia"/>
          <w:sz w:val="24"/>
          <w:highlight w:val="none"/>
        </w:rPr>
        <w:t>学生档案，学生档案管理主要用户记录学生档案的当前状态、外调记录等。</w:t>
      </w:r>
    </w:p>
    <w:p>
      <w:pPr>
        <w:pStyle w:val="12"/>
        <w:numPr>
          <w:ilvl w:val="0"/>
          <w:numId w:val="19"/>
        </w:numPr>
        <w:spacing w:line="360" w:lineRule="auto"/>
        <w:ind w:firstLineChars="0"/>
        <w:rPr>
          <w:sz w:val="24"/>
          <w:highlight w:val="none"/>
        </w:rPr>
      </w:pPr>
      <w:r>
        <w:rPr>
          <w:rFonts w:hint="eastAsia"/>
          <w:sz w:val="24"/>
          <w:highlight w:val="none"/>
        </w:rPr>
        <w:t>档案管理，学校相关业务人员可批量及逐个建档，支持自动生成档案编号，并可根据设定档案记录信息字段。</w:t>
      </w:r>
    </w:p>
    <w:p>
      <w:pPr>
        <w:pStyle w:val="12"/>
        <w:numPr>
          <w:ilvl w:val="0"/>
          <w:numId w:val="19"/>
        </w:numPr>
        <w:spacing w:line="360" w:lineRule="auto"/>
        <w:ind w:firstLineChars="0"/>
        <w:rPr>
          <w:sz w:val="24"/>
          <w:highlight w:val="none"/>
        </w:rPr>
      </w:pPr>
      <w:r>
        <w:rPr>
          <w:rFonts w:hint="eastAsia"/>
          <w:sz w:val="24"/>
          <w:highlight w:val="none"/>
        </w:rPr>
        <w:t>调动记录，学校管理老师可对外借、转校、毕业等原因需转出档案的学生进行档案转出信息登记，并可查询各院系档案转出情况，并可导入需要转出档案的学生清单。</w:t>
      </w:r>
    </w:p>
    <w:p>
      <w:pPr>
        <w:pStyle w:val="12"/>
        <w:numPr>
          <w:ilvl w:val="0"/>
          <w:numId w:val="19"/>
        </w:numPr>
        <w:spacing w:line="360" w:lineRule="auto"/>
        <w:ind w:firstLineChars="0"/>
        <w:rPr>
          <w:sz w:val="24"/>
          <w:highlight w:val="none"/>
        </w:rPr>
      </w:pPr>
      <w:r>
        <w:rPr>
          <w:rFonts w:hint="eastAsia"/>
          <w:sz w:val="24"/>
          <w:highlight w:val="none"/>
        </w:rPr>
        <w:t>档案查询，在校生可登录个人账户查询本人档案状态及档案情况。毕业生可用游客身份通过学号及身份证号查询本人的档案去向。</w:t>
      </w:r>
    </w:p>
    <w:p>
      <w:pPr>
        <w:numPr>
          <w:ilvl w:val="0"/>
          <w:numId w:val="8"/>
        </w:numPr>
        <w:spacing w:line="360" w:lineRule="auto"/>
        <w:rPr>
          <w:sz w:val="24"/>
          <w:highlight w:val="none"/>
        </w:rPr>
      </w:pPr>
      <w:r>
        <w:rPr>
          <w:rFonts w:hint="eastAsia" w:ascii="微软雅黑" w:hAnsi="微软雅黑" w:eastAsia="微软雅黑" w:cs="微软雅黑"/>
          <w:kern w:val="0"/>
          <w:sz w:val="24"/>
          <w:highlight w:val="none"/>
        </w:rPr>
        <w:t>★</w:t>
      </w:r>
      <w:r>
        <w:rPr>
          <w:rFonts w:hint="eastAsia"/>
          <w:sz w:val="24"/>
          <w:highlight w:val="none"/>
        </w:rPr>
        <w:t>节假日离返校，主要解决在校学生节假日离校或返校的事宜。学校管理老师可对这项业务开展的节假日类型及登记时间等进行设置，学生可在线提交节假日去向，例如离校和返校时间，管理老师可查询学生离校情况并可登记学生返校情况。包括节假日设置、登记离校、离校登记管理、返校登记管理。</w:t>
      </w:r>
    </w:p>
    <w:p>
      <w:pPr>
        <w:pStyle w:val="12"/>
        <w:numPr>
          <w:ilvl w:val="0"/>
          <w:numId w:val="20"/>
        </w:numPr>
        <w:spacing w:line="360" w:lineRule="auto"/>
        <w:ind w:firstLineChars="0"/>
        <w:rPr>
          <w:sz w:val="24"/>
          <w:highlight w:val="none"/>
        </w:rPr>
      </w:pPr>
      <w:r>
        <w:rPr>
          <w:rFonts w:hint="eastAsia"/>
          <w:sz w:val="24"/>
          <w:highlight w:val="none"/>
        </w:rPr>
        <w:t>节假日设置，为学校管理老师提供节假日种类、登记时间及定位到校进行设置的功能。</w:t>
      </w:r>
    </w:p>
    <w:p>
      <w:pPr>
        <w:pStyle w:val="12"/>
        <w:numPr>
          <w:ilvl w:val="0"/>
          <w:numId w:val="20"/>
        </w:numPr>
        <w:spacing w:line="360" w:lineRule="auto"/>
        <w:ind w:firstLineChars="0"/>
        <w:rPr>
          <w:sz w:val="24"/>
          <w:highlight w:val="none"/>
        </w:rPr>
      </w:pPr>
      <w:r>
        <w:rPr>
          <w:rFonts w:hint="eastAsia"/>
          <w:sz w:val="24"/>
          <w:highlight w:val="none"/>
        </w:rPr>
        <w:t>节假日去向登记，需支持为学生提供在线填写并提交节假日去向信息、预计返校日期及紧急联系人等信息，提交后可查看审核进度。</w:t>
      </w:r>
    </w:p>
    <w:p>
      <w:pPr>
        <w:pStyle w:val="12"/>
        <w:numPr>
          <w:ilvl w:val="0"/>
          <w:numId w:val="20"/>
        </w:numPr>
        <w:spacing w:line="360" w:lineRule="auto"/>
        <w:ind w:firstLineChars="0"/>
        <w:rPr>
          <w:sz w:val="24"/>
          <w:highlight w:val="none"/>
        </w:rPr>
      </w:pPr>
      <w:r>
        <w:rPr>
          <w:rFonts w:hint="eastAsia"/>
          <w:sz w:val="24"/>
          <w:highlight w:val="none"/>
        </w:rPr>
        <w:t>节假日登记审核，根据之前的审核流程配置，涉及到审核流程的学校各级管理老师可对学生提交的节假日离校的申请信息进行审核。</w:t>
      </w:r>
    </w:p>
    <w:p>
      <w:pPr>
        <w:pStyle w:val="12"/>
        <w:numPr>
          <w:ilvl w:val="0"/>
          <w:numId w:val="20"/>
        </w:numPr>
        <w:spacing w:line="360" w:lineRule="auto"/>
        <w:ind w:firstLineChars="0"/>
        <w:rPr>
          <w:sz w:val="24"/>
          <w:highlight w:val="none"/>
        </w:rPr>
      </w:pPr>
      <w:r>
        <w:rPr>
          <w:rFonts w:hint="eastAsia"/>
          <w:sz w:val="24"/>
          <w:highlight w:val="none"/>
        </w:rPr>
        <w:t>返校登记管理，学校管理人员可设置返校延期原因，确认学生是否到校以及查询统计返校情况。对于延期返校的学生可在线登记预计返校时间、原因等情况。</w:t>
      </w:r>
    </w:p>
    <w:p>
      <w:pPr>
        <w:pStyle w:val="12"/>
        <w:numPr>
          <w:ilvl w:val="0"/>
          <w:numId w:val="20"/>
        </w:numPr>
        <w:spacing w:line="360" w:lineRule="auto"/>
        <w:ind w:firstLineChars="0"/>
        <w:rPr>
          <w:sz w:val="24"/>
          <w:highlight w:val="none"/>
        </w:rPr>
      </w:pPr>
      <w:r>
        <w:rPr>
          <w:rFonts w:hint="eastAsia"/>
          <w:sz w:val="24"/>
          <w:highlight w:val="none"/>
        </w:rPr>
        <w:t>节假日登记管理，学校相关业务管理人员可设置离校去向类型以及审核的流程等。学生提交节假日离校信息之后，老师可查看学生在节假日期间的离校去向并可查询未登记离校信息的学生名单，并可形成去向汇总报表供相关业务老师下载或打印。</w:t>
      </w:r>
    </w:p>
    <w:p>
      <w:pPr>
        <w:numPr>
          <w:ilvl w:val="0"/>
          <w:numId w:val="8"/>
        </w:numPr>
        <w:spacing w:line="360" w:lineRule="auto"/>
        <w:rPr>
          <w:sz w:val="24"/>
          <w:highlight w:val="none"/>
        </w:rPr>
      </w:pPr>
      <w:r>
        <w:rPr>
          <w:rFonts w:hint="eastAsia"/>
          <w:sz w:val="24"/>
          <w:highlight w:val="none"/>
        </w:rPr>
        <w:t>学生证补办，主要解决在校学生的学生证丢失之后进行补办的事宜以及批量打印新生学生证需求。学校管理人员可设置申请学生证以及优惠卡补办时间及流程等参数，学生可在线申请补办学生证或火车票优惠卡，各级管理人员进行审核并进行查询统计。</w:t>
      </w:r>
    </w:p>
    <w:p>
      <w:pPr>
        <w:pStyle w:val="12"/>
        <w:numPr>
          <w:ilvl w:val="0"/>
          <w:numId w:val="21"/>
        </w:numPr>
        <w:spacing w:line="360" w:lineRule="auto"/>
        <w:ind w:firstLineChars="0"/>
        <w:rPr>
          <w:sz w:val="24"/>
          <w:highlight w:val="none"/>
        </w:rPr>
      </w:pPr>
      <w:r>
        <w:rPr>
          <w:rFonts w:hint="eastAsia"/>
          <w:sz w:val="24"/>
          <w:highlight w:val="none"/>
        </w:rPr>
        <w:t>学生证补办设置，学校管理员可设置学生证以及优惠卡补办时间，审核流程，学生证打印等信息。</w:t>
      </w:r>
    </w:p>
    <w:p>
      <w:pPr>
        <w:pStyle w:val="12"/>
        <w:numPr>
          <w:ilvl w:val="0"/>
          <w:numId w:val="21"/>
        </w:numPr>
        <w:spacing w:line="360" w:lineRule="auto"/>
        <w:ind w:firstLineChars="0"/>
        <w:rPr>
          <w:sz w:val="24"/>
          <w:highlight w:val="none"/>
        </w:rPr>
      </w:pPr>
      <w:r>
        <w:rPr>
          <w:rFonts w:hint="eastAsia"/>
          <w:sz w:val="24"/>
          <w:highlight w:val="none"/>
        </w:rPr>
        <w:t>学生证补办申请，学生可在学校规定的时间内线上申请补办学生证或火车票优惠卡，并进行处理进度查询。</w:t>
      </w:r>
    </w:p>
    <w:p>
      <w:pPr>
        <w:pStyle w:val="12"/>
        <w:numPr>
          <w:ilvl w:val="0"/>
          <w:numId w:val="21"/>
        </w:numPr>
        <w:spacing w:line="360" w:lineRule="auto"/>
        <w:ind w:firstLineChars="0"/>
        <w:rPr>
          <w:sz w:val="24"/>
          <w:highlight w:val="none"/>
        </w:rPr>
      </w:pPr>
      <w:r>
        <w:rPr>
          <w:rFonts w:hint="eastAsia"/>
          <w:sz w:val="24"/>
          <w:highlight w:val="none"/>
        </w:rPr>
        <w:t>学生证补办审核，按照设定的审核流程配置，有审核权限的学校各级管理老师可对学生提交的学生证补办申请进行审核。审核过程中，学校管理人员可对学生提交的申请进行逐个审核，也可以依据申请统计结果进行批量审核，审核通过后，老师可直接打印学生证通知学生取件，若学校连通自助服务设备，则学生可自行前往自助服务设备对火车优惠卡进行写卡或者充值。</w:t>
      </w:r>
    </w:p>
    <w:p>
      <w:pPr>
        <w:pStyle w:val="12"/>
        <w:numPr>
          <w:ilvl w:val="0"/>
          <w:numId w:val="21"/>
        </w:numPr>
        <w:spacing w:line="360" w:lineRule="auto"/>
        <w:ind w:firstLineChars="0"/>
        <w:rPr>
          <w:sz w:val="24"/>
          <w:highlight w:val="none"/>
        </w:rPr>
      </w:pPr>
      <w:r>
        <w:rPr>
          <w:rFonts w:hint="eastAsia"/>
          <w:sz w:val="24"/>
          <w:highlight w:val="none"/>
        </w:rPr>
        <w:t>学生证补办管理，学校相关业务管理人员可直接新增需要补办学生证的学生信息，并可对学生证补办信息进行批量导入和导出的操作。</w:t>
      </w:r>
    </w:p>
    <w:p>
      <w:pPr>
        <w:pStyle w:val="12"/>
        <w:numPr>
          <w:ilvl w:val="0"/>
          <w:numId w:val="21"/>
        </w:numPr>
        <w:spacing w:line="360" w:lineRule="auto"/>
        <w:ind w:firstLineChars="0"/>
        <w:rPr>
          <w:sz w:val="24"/>
          <w:highlight w:val="none"/>
        </w:rPr>
      </w:pPr>
      <w:r>
        <w:rPr>
          <w:rFonts w:hint="eastAsia"/>
          <w:sz w:val="24"/>
          <w:highlight w:val="none"/>
        </w:rPr>
        <w:t>学生证补办查询统计，各级管理人员（学生处管理人员、院系学工负责人、辅导员等）可以对自己管辖范围内的学生学生证补办信息进行明细查询、统计结果导出保存。</w:t>
      </w:r>
    </w:p>
    <w:p>
      <w:pPr>
        <w:numPr>
          <w:ilvl w:val="0"/>
          <w:numId w:val="8"/>
        </w:numPr>
        <w:spacing w:line="360" w:lineRule="auto"/>
        <w:rPr>
          <w:sz w:val="24"/>
          <w:highlight w:val="none"/>
        </w:rPr>
      </w:pPr>
      <w:r>
        <w:rPr>
          <w:rFonts w:hint="eastAsia"/>
          <w:sz w:val="24"/>
          <w:highlight w:val="none"/>
        </w:rPr>
        <w:t>医保信息管理，主要解决对保险理赔的相关工作。学校管理老师设置保险的相关参数，对学生投保申请进行查看，并对投保或理赔结果进行查询统计。学生可在线申请投保或查看理赔结果。班主任、辅导员及院系负责人可查询学生参保及理赔结果信息。</w:t>
      </w:r>
    </w:p>
    <w:p>
      <w:pPr>
        <w:pStyle w:val="12"/>
        <w:numPr>
          <w:ilvl w:val="0"/>
          <w:numId w:val="22"/>
        </w:numPr>
        <w:spacing w:line="360" w:lineRule="auto"/>
        <w:ind w:firstLineChars="0"/>
        <w:rPr>
          <w:sz w:val="24"/>
          <w:highlight w:val="none"/>
        </w:rPr>
      </w:pPr>
      <w:r>
        <w:rPr>
          <w:rFonts w:hint="eastAsia"/>
          <w:sz w:val="24"/>
          <w:highlight w:val="none"/>
        </w:rPr>
        <w:t>医保信息导入，为学校管理老师提供对保险设置的服务，终审学生投保申请，审核学生理赔申请。</w:t>
      </w:r>
    </w:p>
    <w:p>
      <w:pPr>
        <w:pStyle w:val="12"/>
        <w:numPr>
          <w:ilvl w:val="0"/>
          <w:numId w:val="22"/>
        </w:numPr>
        <w:spacing w:line="360" w:lineRule="auto"/>
        <w:ind w:firstLineChars="0"/>
        <w:rPr>
          <w:sz w:val="24"/>
          <w:highlight w:val="none"/>
        </w:rPr>
      </w:pPr>
      <w:r>
        <w:rPr>
          <w:rFonts w:hint="eastAsia"/>
          <w:sz w:val="24"/>
          <w:highlight w:val="none"/>
        </w:rPr>
        <w:t>医保信息查询，为各级管理部门提供理赔结果记录查询的功能</w:t>
      </w:r>
    </w:p>
    <w:p>
      <w:pPr>
        <w:numPr>
          <w:ilvl w:val="0"/>
          <w:numId w:val="8"/>
        </w:numPr>
        <w:spacing w:line="360" w:lineRule="auto"/>
        <w:rPr>
          <w:rFonts w:hint="eastAsia"/>
          <w:sz w:val="24"/>
          <w:highlight w:val="none"/>
        </w:rPr>
      </w:pPr>
      <w:r>
        <w:rPr>
          <w:rFonts w:hint="eastAsia"/>
          <w:sz w:val="24"/>
          <w:highlight w:val="none"/>
        </w:rPr>
        <w:t>劳动教育：集劳动教育活动发布、学生活动报名、打卡签到、活动时长记录及考核等多项功能于一体，实现劳动教育全过程智慧化、便捷式记录和评价。</w:t>
      </w:r>
    </w:p>
    <w:p>
      <w:pPr>
        <w:spacing w:line="360" w:lineRule="auto"/>
        <w:ind w:firstLine="480" w:firstLineChars="200"/>
        <w:rPr>
          <w:rFonts w:hint="eastAsia"/>
          <w:highlight w:val="none"/>
        </w:rPr>
      </w:pPr>
      <w:r>
        <w:rPr>
          <w:rFonts w:hint="eastAsia" w:ascii="宋体" w:hAnsi="宋体"/>
          <w:sz w:val="24"/>
          <w:highlight w:val="none"/>
        </w:rPr>
        <w:t>劳动教育活动：根据学生参加劳动的具体内容和要求，实现全过程记录和评价，业务管理老师每学年根据学生参加劳动实践教育的时长及表现，在劳动教育考评功能中给予评价。</w:t>
      </w:r>
    </w:p>
    <w:p>
      <w:pPr>
        <w:numPr>
          <w:ilvl w:val="0"/>
          <w:numId w:val="8"/>
        </w:numPr>
        <w:spacing w:line="360" w:lineRule="auto"/>
        <w:rPr>
          <w:color w:val="auto"/>
          <w:sz w:val="24"/>
          <w:highlight w:val="none"/>
        </w:rPr>
      </w:pPr>
      <w:r>
        <w:rPr>
          <w:rFonts w:hint="eastAsia"/>
          <w:color w:val="auto"/>
          <w:sz w:val="24"/>
          <w:highlight w:val="none"/>
        </w:rPr>
        <w:t>国防教育</w:t>
      </w:r>
    </w:p>
    <w:p>
      <w:pPr>
        <w:spacing w:line="360" w:lineRule="auto"/>
        <w:ind w:firstLine="480" w:firstLineChars="200"/>
        <w:rPr>
          <w:rFonts w:ascii="宋体" w:hAnsi="宋体" w:cs="仿宋_GB2312"/>
          <w:sz w:val="24"/>
          <w:szCs w:val="24"/>
          <w:highlight w:val="none"/>
        </w:rPr>
      </w:pPr>
      <w:r>
        <w:rPr>
          <w:rFonts w:hint="eastAsia" w:ascii="宋体" w:hAnsi="宋体" w:cs="仿宋_GB2312"/>
          <w:sz w:val="24"/>
          <w:szCs w:val="24"/>
          <w:highlight w:val="none"/>
        </w:rPr>
        <w:t>管理人员可以发布、管理国防教育相关内容，包括文章、图片、视频、链接等。相关内容可以按班级、专业、年级等推送指定学生群体。</w:t>
      </w:r>
    </w:p>
    <w:p>
      <w:pPr>
        <w:numPr>
          <w:ilvl w:val="0"/>
          <w:numId w:val="8"/>
        </w:numPr>
        <w:spacing w:line="360" w:lineRule="auto"/>
        <w:rPr>
          <w:sz w:val="24"/>
          <w:highlight w:val="none"/>
        </w:rPr>
      </w:pPr>
      <w:r>
        <w:rPr>
          <w:rFonts w:hint="eastAsia"/>
          <w:sz w:val="24"/>
          <w:highlight w:val="none"/>
        </w:rPr>
        <w:t>思政教育：可结合平台线上资源提供提供思想道德修养与法律基础、中国近现代史纲要、马克思主义基本原理概论、毛泽东思想和中国特色社会主义理论体系概论四门思想政治理论课教学课件供学生学习。</w:t>
      </w:r>
    </w:p>
    <w:p>
      <w:pPr>
        <w:numPr>
          <w:ilvl w:val="0"/>
          <w:numId w:val="8"/>
        </w:numPr>
        <w:spacing w:line="360" w:lineRule="auto"/>
        <w:rPr>
          <w:sz w:val="24"/>
          <w:highlight w:val="none"/>
        </w:rPr>
      </w:pPr>
      <w:r>
        <w:rPr>
          <w:rFonts w:hint="eastAsia"/>
          <w:sz w:val="24"/>
          <w:highlight w:val="none"/>
        </w:rPr>
        <w:t>心理健康教育：提供《青年心理健康测评量表》，并提供量表题册及研发团队信息，研制量表包括十个维度：职业选择、社会行为、情绪调节、自我认识、生活适应、人际交往、亲子关系、网络依赖、性心理等。包含心理健康量表研发的理论背景材料、心理健康量表维度确定的依据与方法、心理健康量表题目手册、心理健康量表计分方法、心理健康量表信效度指标、心理健康量表用户手册等。</w:t>
      </w:r>
    </w:p>
    <w:p>
      <w:pPr>
        <w:numPr>
          <w:ilvl w:val="0"/>
          <w:numId w:val="8"/>
        </w:numPr>
        <w:spacing w:line="360" w:lineRule="auto"/>
        <w:rPr>
          <w:rFonts w:hint="eastAsia"/>
          <w:highlight w:val="none"/>
        </w:rPr>
      </w:pPr>
      <w:r>
        <w:rPr>
          <w:rFonts w:hint="eastAsia"/>
          <w:sz w:val="24"/>
          <w:highlight w:val="none"/>
        </w:rPr>
        <w:t>学生党建：提供党建资料专题库，包含党建图书、党建期刊、党建报纸、党建微课、党建专题、改革开放40周年专题、习近平系列讲话、中国共产党历届全国代表大会、党内法规制度、党员基础知识、党章学习、党建工作流程等系列专题资源模块。</w:t>
      </w:r>
    </w:p>
    <w:p>
      <w:pPr>
        <w:numPr>
          <w:ilvl w:val="0"/>
          <w:numId w:val="8"/>
        </w:numPr>
        <w:spacing w:line="360" w:lineRule="auto"/>
        <w:rPr>
          <w:rFonts w:ascii="宋体" w:hAnsi="宋体"/>
          <w:sz w:val="24"/>
          <w:highlight w:val="none"/>
        </w:rPr>
      </w:pPr>
      <w:r>
        <w:rPr>
          <w:rFonts w:hint="eastAsia"/>
          <w:sz w:val="24"/>
          <w:highlight w:val="none"/>
        </w:rPr>
        <w:t>学生预警：</w:t>
      </w:r>
      <w:r>
        <w:rPr>
          <w:rFonts w:hint="eastAsia" w:ascii="宋体" w:hAnsi="宋体"/>
          <w:sz w:val="24"/>
          <w:highlight w:val="none"/>
        </w:rPr>
        <w:t>基于学生综合画像建立多维度的大数据集成、分析模型，并通过学生综合数据平台驾驶舱进行智能预警，发现问题于萌芽，为有效化解突发事件提供依据，让突发性问题从事后发现转为事前预警、预判、预处理。通过核心算法对数据的分析以不同形式的图表实时、动态、可靠的展示，进行多维度监控，并支持智能预警（预警模块包括但不限于：学生基础学业问题预警、日常行为预警、重点关注学生预警预警等），为学校学生管理工作提供辅助决策支持。</w:t>
      </w:r>
    </w:p>
    <w:p>
      <w:pPr>
        <w:spacing w:line="360" w:lineRule="auto"/>
        <w:rPr>
          <w:rFonts w:hint="eastAsia"/>
          <w:highlight w:val="none"/>
        </w:rPr>
      </w:pPr>
      <w:r>
        <w:rPr>
          <w:rFonts w:hint="eastAsia" w:ascii="宋体" w:hAnsi="宋体"/>
          <w:sz w:val="24"/>
          <w:highlight w:val="none"/>
        </w:rPr>
        <w:t>学业预警：通过与教务、图书馆系统互通，结合学生的成绩记录、图书馆记录，旷课、挂科、补考记录建立成绩分析模型，综合预警学生学业情况，辅助学校管理。</w:t>
      </w:r>
      <w:r>
        <w:rPr>
          <w:rFonts w:hint="eastAsia" w:ascii="宋体" w:hAnsi="宋体"/>
          <w:sz w:val="24"/>
          <w:highlight w:val="none"/>
        </w:rPr>
        <w:cr/>
      </w:r>
      <w:r>
        <w:rPr>
          <w:rFonts w:hint="eastAsia" w:ascii="宋体" w:hAnsi="宋体"/>
          <w:sz w:val="24"/>
          <w:highlight w:val="none"/>
        </w:rPr>
        <w:t>日常行为预警：通过与教务、图书馆、宿管等业务部门互通，获取到学生的上课记录、一卡通记录、图书馆记录，宿舍门禁记录后建立不在校行为分析模型，综合预警学生不在校行为，方便学校后续管理。</w:t>
      </w:r>
      <w:r>
        <w:rPr>
          <w:rFonts w:hint="eastAsia" w:ascii="宋体" w:hAnsi="宋体"/>
          <w:sz w:val="24"/>
          <w:highlight w:val="none"/>
        </w:rPr>
        <w:cr/>
      </w:r>
      <w:r>
        <w:rPr>
          <w:rFonts w:hint="eastAsia" w:ascii="宋体" w:hAnsi="宋体"/>
          <w:sz w:val="24"/>
          <w:highlight w:val="none"/>
        </w:rPr>
        <w:t>重点关注学生预警：通过与团委、心理等部门进行数据对接后，针对心理有障碍的学生予以及时提醒，并有针对性地采取相应的防范与帮扶措施，帮助学生顺利完成学业的一种信息沟通和危机预警制度。</w:t>
      </w:r>
    </w:p>
    <w:p>
      <w:pPr>
        <w:numPr>
          <w:ilvl w:val="0"/>
          <w:numId w:val="8"/>
        </w:numPr>
        <w:spacing w:line="360" w:lineRule="auto"/>
        <w:rPr>
          <w:sz w:val="24"/>
          <w:highlight w:val="none"/>
        </w:rPr>
      </w:pPr>
      <w:r>
        <w:rPr>
          <w:rFonts w:hint="eastAsia"/>
          <w:sz w:val="24"/>
          <w:highlight w:val="none"/>
        </w:rPr>
        <w:t>学生画像：</w:t>
      </w:r>
      <w:r>
        <w:rPr>
          <w:rFonts w:hint="eastAsia" w:ascii="宋体" w:hAnsi="宋体"/>
          <w:sz w:val="24"/>
          <w:highlight w:val="none"/>
        </w:rPr>
        <w:t>为师生提供学生入学以来的综合数据统计分析服务，将来自不同部门及业务系统的课堂、成绩、活动、奖惩、资助等信息统一进行直观的呈现。</w:t>
      </w:r>
    </w:p>
    <w:p>
      <w:pPr>
        <w:spacing w:line="360" w:lineRule="auto"/>
        <w:ind w:firstLine="480" w:firstLineChars="200"/>
        <w:rPr>
          <w:rFonts w:hint="eastAsia" w:ascii="宋体" w:hAnsi="宋体"/>
          <w:sz w:val="24"/>
          <w:highlight w:val="none"/>
        </w:rPr>
      </w:pPr>
      <w:r>
        <w:rPr>
          <w:rFonts w:hint="eastAsia" w:ascii="宋体" w:hAnsi="宋体"/>
          <w:sz w:val="24"/>
          <w:highlight w:val="none"/>
        </w:rPr>
        <w:t>数据采集：支持缺失数据收集，可基于学校需求，自定义采集字段并入库。</w:t>
      </w:r>
    </w:p>
    <w:p>
      <w:pPr>
        <w:spacing w:line="360" w:lineRule="auto"/>
        <w:ind w:firstLine="480" w:firstLineChars="200"/>
        <w:rPr>
          <w:rFonts w:hint="eastAsia" w:ascii="宋体" w:hAnsi="宋体"/>
          <w:sz w:val="24"/>
          <w:highlight w:val="none"/>
        </w:rPr>
      </w:pPr>
      <w:r>
        <w:rPr>
          <w:rFonts w:hint="eastAsia" w:ascii="宋体" w:hAnsi="宋体"/>
          <w:sz w:val="24"/>
          <w:highlight w:val="none"/>
        </w:rPr>
        <w:t>数据对接：支持对接第三方系统，获取相关标准数据；支持提供完整的对接方式供第三方对接使用，可基于本平台标准获取到相关数据。</w:t>
      </w:r>
    </w:p>
    <w:p>
      <w:pPr>
        <w:spacing w:line="360" w:lineRule="auto"/>
        <w:ind w:firstLine="480" w:firstLineChars="200"/>
        <w:rPr>
          <w:rFonts w:ascii="宋体" w:hAnsi="宋体"/>
          <w:sz w:val="24"/>
          <w:highlight w:val="none"/>
        </w:rPr>
      </w:pPr>
      <w:r>
        <w:rPr>
          <w:rFonts w:hint="eastAsia" w:ascii="宋体" w:hAnsi="宋体"/>
          <w:sz w:val="24"/>
          <w:highlight w:val="none"/>
        </w:rPr>
        <w:t>学生基础信息展示：展示内容包括但不限于： 录取信息、基本信息、在校信息、教育经历、家庭经济情况、家庭信息、体检结果；</w:t>
      </w:r>
    </w:p>
    <w:p>
      <w:pPr>
        <w:spacing w:line="360" w:lineRule="auto"/>
        <w:ind w:firstLine="480" w:firstLineChars="200"/>
        <w:rPr>
          <w:rFonts w:ascii="宋体" w:hAnsi="宋体"/>
          <w:sz w:val="24"/>
          <w:highlight w:val="none"/>
        </w:rPr>
      </w:pPr>
      <w:r>
        <w:rPr>
          <w:rFonts w:hint="eastAsia" w:ascii="宋体" w:hAnsi="宋体"/>
          <w:sz w:val="24"/>
          <w:highlight w:val="none"/>
        </w:rPr>
        <w:t>学习情况相关信息展示：展示内容包括但不限于：注册情况、学籍异动、培养计划、课表信息、课程成绩、评教结果、英语考试、请假记录；</w:t>
      </w:r>
    </w:p>
    <w:p>
      <w:pPr>
        <w:spacing w:line="360" w:lineRule="auto"/>
        <w:ind w:firstLine="480" w:firstLineChars="200"/>
        <w:rPr>
          <w:rFonts w:ascii="宋体" w:hAnsi="宋体"/>
          <w:sz w:val="24"/>
          <w:highlight w:val="none"/>
        </w:rPr>
      </w:pPr>
      <w:r>
        <w:rPr>
          <w:rFonts w:hint="eastAsia" w:ascii="宋体" w:hAnsi="宋体"/>
          <w:sz w:val="24"/>
          <w:highlight w:val="none"/>
        </w:rPr>
        <w:t>综合素质相关信息展示：展示内容包括但不限于：奖学金、体能测试、就业情况、境外交流；</w:t>
      </w:r>
    </w:p>
    <w:p>
      <w:pPr>
        <w:spacing w:line="360" w:lineRule="auto"/>
        <w:ind w:firstLine="480" w:firstLineChars="200"/>
        <w:rPr>
          <w:rFonts w:hint="eastAsia"/>
          <w:highlight w:val="none"/>
        </w:rPr>
      </w:pPr>
      <w:r>
        <w:rPr>
          <w:rFonts w:hint="eastAsia" w:ascii="宋体" w:hAnsi="宋体"/>
          <w:sz w:val="24"/>
          <w:highlight w:val="none"/>
        </w:rPr>
        <w:t>校园生活相关信息展示：展示内容包括但不限于：财务缴费、图书借阅、校园卡、上网信息、门禁数据等。</w:t>
      </w:r>
    </w:p>
    <w:p>
      <w:pPr>
        <w:numPr>
          <w:ilvl w:val="0"/>
          <w:numId w:val="8"/>
        </w:numPr>
        <w:spacing w:line="360" w:lineRule="auto"/>
        <w:rPr>
          <w:sz w:val="24"/>
          <w:highlight w:val="none"/>
        </w:rPr>
      </w:pPr>
      <w:r>
        <w:rPr>
          <w:rFonts w:hint="eastAsia"/>
          <w:sz w:val="24"/>
          <w:highlight w:val="none"/>
        </w:rPr>
        <w:t>政工队伍，主要解决对学工队伍的管理工作。学校管理人员对学工人员类别的维护工作，管理全校所有学工口教职工的人员信息，设置院系负责人，设置班主任或辅导员进行带班。院系负责人对本院下教职工人员信息的进行管理，可对院系人员进行具体分工，设置班主任或辅导员进行带班。</w:t>
      </w:r>
    </w:p>
    <w:p>
      <w:pPr>
        <w:pStyle w:val="12"/>
        <w:numPr>
          <w:ilvl w:val="0"/>
          <w:numId w:val="23"/>
        </w:numPr>
        <w:spacing w:line="360" w:lineRule="auto"/>
        <w:ind w:firstLineChars="0"/>
        <w:rPr>
          <w:sz w:val="24"/>
          <w:highlight w:val="none"/>
        </w:rPr>
      </w:pPr>
      <w:r>
        <w:rPr>
          <w:rFonts w:hint="eastAsia"/>
          <w:sz w:val="24"/>
          <w:highlight w:val="none"/>
        </w:rPr>
        <w:t>学工信息管理：学校管理人员管理全校所有的学工人员信息，以及人员的具体分工，如设置院系负责人，设置班主任或辅导员带班；</w:t>
      </w:r>
    </w:p>
    <w:p>
      <w:pPr>
        <w:pStyle w:val="12"/>
        <w:numPr>
          <w:ilvl w:val="0"/>
          <w:numId w:val="23"/>
        </w:numPr>
        <w:spacing w:line="360" w:lineRule="auto"/>
        <w:ind w:firstLineChars="0"/>
        <w:rPr>
          <w:sz w:val="24"/>
          <w:highlight w:val="none"/>
        </w:rPr>
      </w:pPr>
      <w:r>
        <w:rPr>
          <w:rFonts w:hint="eastAsia"/>
          <w:sz w:val="24"/>
          <w:highlight w:val="none"/>
        </w:rPr>
        <w:t>任职信息查询：实现对于全校所有学工人员信息的全览，也可以根据多种条件筛选查询。</w:t>
      </w:r>
    </w:p>
    <w:p>
      <w:pPr>
        <w:pStyle w:val="12"/>
        <w:numPr>
          <w:ilvl w:val="0"/>
          <w:numId w:val="23"/>
        </w:numPr>
        <w:spacing w:line="360" w:lineRule="auto"/>
        <w:ind w:firstLineChars="0"/>
        <w:rPr>
          <w:sz w:val="24"/>
          <w:highlight w:val="none"/>
        </w:rPr>
      </w:pPr>
      <w:r>
        <w:rPr>
          <w:rFonts w:hint="eastAsia"/>
          <w:sz w:val="24"/>
          <w:highlight w:val="none"/>
        </w:rPr>
        <w:t>扩展信息管理，学校管理老师可设置需要学工队伍维护的扩展信息项，并通过扩展信息项查看所有教职工填报情况及内容；可维护教职工详情信息报表模板。</w:t>
      </w:r>
    </w:p>
    <w:p>
      <w:pPr>
        <w:pStyle w:val="12"/>
        <w:numPr>
          <w:ilvl w:val="0"/>
          <w:numId w:val="23"/>
        </w:numPr>
        <w:spacing w:line="360" w:lineRule="auto"/>
        <w:ind w:firstLineChars="0"/>
        <w:rPr>
          <w:sz w:val="24"/>
          <w:highlight w:val="none"/>
        </w:rPr>
      </w:pPr>
      <w:r>
        <w:rPr>
          <w:rFonts w:hint="eastAsia"/>
          <w:sz w:val="24"/>
          <w:highlight w:val="none"/>
        </w:rPr>
        <w:t>个人信息维护，学工人员可维护自己的个人基本信息，以及个人参加培训、获奖、工作经历、学习经历、上课情况、科研情况等扩展信息。</w:t>
      </w:r>
    </w:p>
    <w:p>
      <w:pPr>
        <w:pStyle w:val="12"/>
        <w:numPr>
          <w:ilvl w:val="0"/>
          <w:numId w:val="23"/>
        </w:numPr>
        <w:spacing w:line="360" w:lineRule="auto"/>
        <w:ind w:firstLineChars="0"/>
        <w:rPr>
          <w:sz w:val="24"/>
          <w:highlight w:val="none"/>
        </w:rPr>
      </w:pPr>
      <w:r>
        <w:rPr>
          <w:rFonts w:hint="eastAsia"/>
          <w:sz w:val="24"/>
          <w:highlight w:val="none"/>
        </w:rPr>
        <w:t>权限分配，各级学工人员可针对自己管理范围的班级院系及业务模块权限配置代理任职人员的权限，并可指定代理任职的时间范围。</w:t>
      </w:r>
    </w:p>
    <w:p>
      <w:pPr>
        <w:pStyle w:val="12"/>
        <w:numPr>
          <w:ilvl w:val="0"/>
          <w:numId w:val="23"/>
        </w:numPr>
        <w:spacing w:line="360" w:lineRule="auto"/>
        <w:ind w:firstLineChars="0"/>
        <w:rPr>
          <w:sz w:val="24"/>
          <w:highlight w:val="none"/>
        </w:rPr>
      </w:pPr>
      <w:r>
        <w:rPr>
          <w:rFonts w:hint="eastAsia"/>
          <w:sz w:val="24"/>
          <w:highlight w:val="none"/>
        </w:rPr>
        <w:t>学工队伍统计，各级管理人员（学生处管理人员、院系学工负责人）可以对自己管辖范围内人员的学工队伍信息进行明细查询、结果导出保存。</w:t>
      </w:r>
    </w:p>
    <w:p>
      <w:pPr>
        <w:pStyle w:val="4"/>
        <w:numPr>
          <w:ilvl w:val="2"/>
          <w:numId w:val="2"/>
        </w:numPr>
        <w:spacing w:line="360" w:lineRule="auto"/>
        <w:rPr>
          <w:sz w:val="24"/>
          <w:szCs w:val="24"/>
          <w:highlight w:val="none"/>
          <w:lang w:val="en-US"/>
        </w:rPr>
      </w:pPr>
      <w:r>
        <w:rPr>
          <w:rFonts w:hint="eastAsia"/>
          <w:sz w:val="24"/>
          <w:szCs w:val="24"/>
          <w:highlight w:val="none"/>
          <w:lang w:val="en-US"/>
        </w:rPr>
        <w:t>离校管理</w:t>
      </w:r>
    </w:p>
    <w:p>
      <w:pPr>
        <w:numPr>
          <w:ilvl w:val="0"/>
          <w:numId w:val="24"/>
        </w:numPr>
        <w:spacing w:line="360" w:lineRule="auto"/>
        <w:rPr>
          <w:sz w:val="24"/>
          <w:highlight w:val="none"/>
        </w:rPr>
      </w:pPr>
      <w:r>
        <w:rPr>
          <w:sz w:val="24"/>
          <w:highlight w:val="none"/>
        </w:rPr>
        <w:t>离校管理系统摒弃传统线下全员持单逐个部门盖章的离校模式，支持根据接入数据自动审核学生离校手续，及时提醒和指引学生完成未尽事宜，方便部门实时统计学生离校情况，让老师从繁琐重复的盖章工作中脱离出来。支持多样化离校流程并行，满足学校不同场景离校业务需求，实现一站式离校手续办理。</w:t>
      </w:r>
    </w:p>
    <w:p>
      <w:pPr>
        <w:spacing w:line="360" w:lineRule="auto"/>
        <w:ind w:firstLine="480" w:firstLineChars="200"/>
        <w:rPr>
          <w:sz w:val="24"/>
          <w:highlight w:val="none"/>
        </w:rPr>
      </w:pPr>
      <w:r>
        <w:rPr>
          <w:sz w:val="24"/>
          <w:highlight w:val="none"/>
        </w:rPr>
        <w:t>离校应用主要包括离校名单管理、流程管理、批次管理、办理授权、离校状态管理、电子离校单、离校办理、统计分析等核心模块。</w:t>
      </w:r>
    </w:p>
    <w:p>
      <w:pPr>
        <w:numPr>
          <w:ilvl w:val="0"/>
          <w:numId w:val="24"/>
        </w:numPr>
        <w:spacing w:line="360" w:lineRule="auto"/>
        <w:rPr>
          <w:sz w:val="24"/>
          <w:highlight w:val="none"/>
        </w:rPr>
      </w:pPr>
      <w:r>
        <w:rPr>
          <w:rFonts w:hint="eastAsia" w:asciiTheme="minorEastAsia" w:hAnsiTheme="minorEastAsia" w:eastAsiaTheme="minorEastAsia" w:cstheme="minorEastAsia"/>
          <w:sz w:val="24"/>
          <w:highlight w:val="none"/>
        </w:rPr>
        <w:t>★</w:t>
      </w:r>
      <w:r>
        <w:rPr>
          <w:sz w:val="24"/>
          <w:highlight w:val="none"/>
        </w:rPr>
        <w:t>离校名单管理：用于维护毕业生的基本信息，支持从系统其他模块学生基本信息管理同步，无需重复维护</w:t>
      </w:r>
    </w:p>
    <w:p>
      <w:pPr>
        <w:numPr>
          <w:ilvl w:val="0"/>
          <w:numId w:val="24"/>
        </w:numPr>
        <w:spacing w:line="360" w:lineRule="auto"/>
        <w:rPr>
          <w:sz w:val="24"/>
          <w:highlight w:val="none"/>
        </w:rPr>
      </w:pPr>
      <w:r>
        <w:rPr>
          <w:rFonts w:hint="eastAsia" w:asciiTheme="minorEastAsia" w:hAnsiTheme="minorEastAsia" w:eastAsiaTheme="minorEastAsia" w:cstheme="minorEastAsia"/>
          <w:sz w:val="24"/>
          <w:highlight w:val="none"/>
        </w:rPr>
        <w:t>★</w:t>
      </w:r>
      <w:r>
        <w:rPr>
          <w:sz w:val="24"/>
          <w:highlight w:val="none"/>
        </w:rPr>
        <w:t>流程管理：设定毕业离校的环节办理流程，支持设置待办事项的先后顺序、是否必办以及对接方式等信息</w:t>
      </w:r>
    </w:p>
    <w:p>
      <w:pPr>
        <w:numPr>
          <w:ilvl w:val="0"/>
          <w:numId w:val="24"/>
        </w:numPr>
        <w:spacing w:line="360" w:lineRule="auto"/>
        <w:rPr>
          <w:sz w:val="24"/>
          <w:highlight w:val="none"/>
        </w:rPr>
      </w:pPr>
      <w:r>
        <w:rPr>
          <w:rFonts w:hint="eastAsia" w:asciiTheme="minorEastAsia" w:hAnsiTheme="minorEastAsia" w:eastAsiaTheme="minorEastAsia" w:cstheme="minorEastAsia"/>
          <w:sz w:val="24"/>
          <w:highlight w:val="none"/>
        </w:rPr>
        <w:t>★</w:t>
      </w:r>
      <w:r>
        <w:rPr>
          <w:sz w:val="24"/>
          <w:highlight w:val="none"/>
        </w:rPr>
        <w:t>批次管理：可同时设置和运行多个离校批次，各批次可自定义离校流程、办理时间和学生范围等条件</w:t>
      </w:r>
    </w:p>
    <w:p>
      <w:pPr>
        <w:numPr>
          <w:ilvl w:val="0"/>
          <w:numId w:val="24"/>
        </w:numPr>
        <w:spacing w:line="360" w:lineRule="auto"/>
        <w:rPr>
          <w:sz w:val="24"/>
          <w:highlight w:val="none"/>
        </w:rPr>
      </w:pPr>
      <w:r>
        <w:rPr>
          <w:rFonts w:hint="eastAsia" w:asciiTheme="minorEastAsia" w:hAnsiTheme="minorEastAsia" w:eastAsiaTheme="minorEastAsia" w:cstheme="minorEastAsia"/>
          <w:sz w:val="24"/>
          <w:highlight w:val="none"/>
        </w:rPr>
        <w:t>★</w:t>
      </w:r>
      <w:r>
        <w:rPr>
          <w:sz w:val="24"/>
          <w:highlight w:val="none"/>
        </w:rPr>
        <w:t>办理授权：管理员可设定各离校环节的负责人和办理人员，环节负责人可以授权给其他人员进行相应环节办理</w:t>
      </w:r>
    </w:p>
    <w:p>
      <w:pPr>
        <w:numPr>
          <w:ilvl w:val="0"/>
          <w:numId w:val="24"/>
        </w:numPr>
        <w:spacing w:line="360" w:lineRule="auto"/>
        <w:rPr>
          <w:sz w:val="24"/>
          <w:highlight w:val="none"/>
        </w:rPr>
      </w:pPr>
      <w:r>
        <w:rPr>
          <w:rFonts w:hint="eastAsia" w:asciiTheme="minorEastAsia" w:hAnsiTheme="minorEastAsia" w:eastAsiaTheme="minorEastAsia" w:cstheme="minorEastAsia"/>
          <w:sz w:val="24"/>
          <w:highlight w:val="none"/>
        </w:rPr>
        <w:t>★</w:t>
      </w:r>
      <w:r>
        <w:rPr>
          <w:sz w:val="24"/>
          <w:highlight w:val="none"/>
        </w:rPr>
        <w:t>离校状态管理：管理和设置毕业生的离校状态等信息，也可以实时查看学生的离校流程办理情况</w:t>
      </w:r>
    </w:p>
    <w:p>
      <w:pPr>
        <w:numPr>
          <w:ilvl w:val="0"/>
          <w:numId w:val="24"/>
        </w:numPr>
        <w:spacing w:line="360" w:lineRule="auto"/>
        <w:rPr>
          <w:sz w:val="24"/>
          <w:highlight w:val="none"/>
        </w:rPr>
      </w:pPr>
      <w:r>
        <w:rPr>
          <w:rFonts w:hint="eastAsia" w:asciiTheme="minorEastAsia" w:hAnsiTheme="minorEastAsia" w:eastAsiaTheme="minorEastAsia" w:cstheme="minorEastAsia"/>
          <w:sz w:val="24"/>
          <w:highlight w:val="none"/>
        </w:rPr>
        <w:t>★</w:t>
      </w:r>
      <w:r>
        <w:rPr>
          <w:sz w:val="24"/>
          <w:highlight w:val="none"/>
        </w:rPr>
        <w:t>电子离校单：为学生提供电子离校单服务，学生可快速了解整个离校流程；应用会以不同的颜色和标签直观告知学生必办、非必办、未办理和已办理的环节，各环节可分别展示管理人员设置的办理地点、办理时间、联系电话以及办理说明等信息</w:t>
      </w:r>
    </w:p>
    <w:p>
      <w:pPr>
        <w:numPr>
          <w:ilvl w:val="0"/>
          <w:numId w:val="24"/>
        </w:numPr>
        <w:spacing w:line="360" w:lineRule="auto"/>
        <w:rPr>
          <w:sz w:val="24"/>
          <w:highlight w:val="none"/>
        </w:rPr>
      </w:pPr>
      <w:r>
        <w:rPr>
          <w:rFonts w:hint="eastAsia" w:asciiTheme="minorEastAsia" w:hAnsiTheme="minorEastAsia" w:eastAsiaTheme="minorEastAsia" w:cstheme="minorEastAsia"/>
          <w:sz w:val="24"/>
          <w:highlight w:val="none"/>
        </w:rPr>
        <w:t>★</w:t>
      </w:r>
      <w:r>
        <w:rPr>
          <w:sz w:val="24"/>
          <w:highlight w:val="none"/>
        </w:rPr>
        <w:t>离校办理：各环节负责老师在离校办理应用中可对所负责范围的学生进行离校环节核对和办理，应用提供简洁的办理操作，支持扫码和学号搜索方式快速定位学生，能够以图形化的方式实时显示当前环节的办理进度，为办理人员的工作提供依据</w:t>
      </w:r>
    </w:p>
    <w:p>
      <w:pPr>
        <w:numPr>
          <w:ilvl w:val="0"/>
          <w:numId w:val="24"/>
        </w:numPr>
        <w:spacing w:line="360" w:lineRule="auto"/>
        <w:rPr>
          <w:sz w:val="24"/>
          <w:highlight w:val="none"/>
        </w:rPr>
      </w:pPr>
      <w:r>
        <w:rPr>
          <w:rFonts w:hint="eastAsia" w:asciiTheme="minorEastAsia" w:hAnsiTheme="minorEastAsia" w:eastAsiaTheme="minorEastAsia" w:cstheme="minorEastAsia"/>
          <w:sz w:val="24"/>
          <w:highlight w:val="none"/>
        </w:rPr>
        <w:t>★</w:t>
      </w:r>
      <w:r>
        <w:rPr>
          <w:sz w:val="24"/>
          <w:highlight w:val="none"/>
        </w:rPr>
        <w:t>统计分析：提供多维度的统计查询，包括离校状态统计、环节办理统计、学生办理情况统计、毕业去向统计、信息采集统计以及办理日志等，管理人员可方便快捷的查询学校、院系、专业、班级的详细办理情况，并可在线导出和打印；通过离校统计应用，业务过程及结果数据无需手动维护和线下共享，简单易用的权限分配功能，保障业务进展数据随时可取可查，信息孤岛得以完善解决，并能够以完整准确的数据辅助各项决策</w:t>
      </w:r>
    </w:p>
    <w:p>
      <w:pPr>
        <w:pStyle w:val="4"/>
        <w:numPr>
          <w:ilvl w:val="1"/>
          <w:numId w:val="25"/>
        </w:numPr>
        <w:spacing w:line="360" w:lineRule="auto"/>
        <w:rPr>
          <w:sz w:val="24"/>
          <w:szCs w:val="24"/>
          <w:highlight w:val="none"/>
        </w:rPr>
      </w:pPr>
      <w:r>
        <w:rPr>
          <w:rFonts w:hint="eastAsia"/>
          <w:sz w:val="24"/>
          <w:szCs w:val="24"/>
          <w:highlight w:val="none"/>
        </w:rPr>
        <w:t>低代码应用快搭</w:t>
      </w:r>
    </w:p>
    <w:p>
      <w:pPr>
        <w:pStyle w:val="12"/>
        <w:numPr>
          <w:ilvl w:val="0"/>
          <w:numId w:val="26"/>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应用快速搭建：平台支持应用可视化“拖拉拽”的方式满足学生管理工作不断发展、变革和创新过程中的快速调整或升级功能的需求，轻松应对发展过程中的业务变化。支持搭建应用的类型不少于表单采集、流程审批、信息采集、活动预约、专题资源、图表工具、门户网站。</w:t>
      </w:r>
    </w:p>
    <w:p>
      <w:pPr>
        <w:pStyle w:val="12"/>
        <w:numPr>
          <w:ilvl w:val="0"/>
          <w:numId w:val="26"/>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★业务后台配置</w:t>
      </w:r>
    </w:p>
    <w:p>
      <w:pPr>
        <w:pStyle w:val="12"/>
        <w:numPr>
          <w:ilvl w:val="0"/>
          <w:numId w:val="27"/>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管理后台配置；可支持按照角色配置管理后台，支持自定义后台顶部菜单、左侧导航等。</w:t>
      </w:r>
    </w:p>
    <w:p>
      <w:pPr>
        <w:pStyle w:val="12"/>
        <w:numPr>
          <w:ilvl w:val="0"/>
          <w:numId w:val="27"/>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支持配置业务后台的菜单样式，包括：logo、菜单背景颜色、背景图、字体颜色等，支持配置业务后台的banner图。</w:t>
      </w:r>
    </w:p>
    <w:p>
      <w:pPr>
        <w:pStyle w:val="12"/>
        <w:numPr>
          <w:ilvl w:val="0"/>
          <w:numId w:val="27"/>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业务后台可按照角色进行功能导航授权，以满足不同角色管理权限细分的要求。</w:t>
      </w:r>
    </w:p>
    <w:p>
      <w:pPr>
        <w:pStyle w:val="12"/>
        <w:numPr>
          <w:ilvl w:val="0"/>
          <w:numId w:val="27"/>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菜单支持多级模式，可自定义一级菜单、二级菜单等，支持菜单排序。</w:t>
      </w:r>
    </w:p>
    <w:p>
      <w:pPr>
        <w:pStyle w:val="12"/>
        <w:numPr>
          <w:ilvl w:val="0"/>
          <w:numId w:val="27"/>
        </w:numPr>
        <w:spacing w:line="360" w:lineRule="auto"/>
        <w:ind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功能菜单可从应用管理中心中进行前后台应用添加，从而实现业务应用数据的灵活管理。</w:t>
      </w:r>
    </w:p>
    <w:p>
      <w:pPr>
        <w:rPr>
          <w:rFonts w:hAnsi="宋体"/>
          <w:color w:val="FF0000"/>
          <w:sz w:val="28"/>
          <w:szCs w:val="28"/>
          <w:highlight w:val="none"/>
        </w:rPr>
      </w:pPr>
      <w:r>
        <w:rPr>
          <w:rFonts w:hint="eastAsia" w:hAnsi="宋体"/>
          <w:color w:val="FF0000"/>
          <w:sz w:val="28"/>
          <w:szCs w:val="28"/>
          <w:highlight w:val="none"/>
        </w:rPr>
        <w:br w:type="page"/>
      </w:r>
    </w:p>
    <w:p>
      <w:pPr>
        <w:pStyle w:val="8"/>
        <w:jc w:val="left"/>
        <w:rPr>
          <w:rFonts w:ascii="Calibri" w:hAnsi="Calibri"/>
          <w:sz w:val="28"/>
          <w:szCs w:val="28"/>
          <w:highlight w:val="none"/>
        </w:rPr>
      </w:pPr>
      <w:r>
        <w:rPr>
          <w:rFonts w:hint="eastAsia" w:hAnsi="宋体"/>
          <w:color w:val="FF0000"/>
          <w:sz w:val="28"/>
          <w:szCs w:val="28"/>
          <w:highlight w:val="none"/>
        </w:rPr>
        <w:t>6、评标标准</w:t>
      </w:r>
    </w:p>
    <w:tbl>
      <w:tblPr>
        <w:tblStyle w:val="9"/>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191"/>
        <w:gridCol w:w="709"/>
        <w:gridCol w:w="5905"/>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4" w:type="dxa"/>
            <w:vAlign w:val="center"/>
          </w:tcPr>
          <w:p>
            <w:pPr>
              <w:jc w:val="center"/>
              <w:rPr>
                <w:rFonts w:ascii="宋体" w:hAnsi="宋体" w:cs="宋体"/>
                <w:b/>
                <w:szCs w:val="21"/>
                <w:highlight w:val="none"/>
              </w:rPr>
            </w:pPr>
            <w:r>
              <w:rPr>
                <w:rFonts w:hint="eastAsia" w:ascii="宋体" w:hAnsi="宋体" w:cs="宋体"/>
                <w:b/>
                <w:szCs w:val="21"/>
                <w:highlight w:val="none"/>
              </w:rPr>
              <w:t>序号</w:t>
            </w:r>
          </w:p>
        </w:tc>
        <w:tc>
          <w:tcPr>
            <w:tcW w:w="1191" w:type="dxa"/>
            <w:vAlign w:val="center"/>
          </w:tcPr>
          <w:p>
            <w:pPr>
              <w:jc w:val="center"/>
              <w:rPr>
                <w:rFonts w:ascii="宋体" w:hAnsi="宋体" w:cs="宋体"/>
                <w:b/>
                <w:szCs w:val="21"/>
                <w:highlight w:val="none"/>
              </w:rPr>
            </w:pPr>
            <w:r>
              <w:rPr>
                <w:rFonts w:hint="eastAsia" w:ascii="宋体" w:hAnsi="宋体" w:cs="宋体"/>
                <w:b/>
                <w:szCs w:val="21"/>
                <w:highlight w:val="none"/>
              </w:rPr>
              <w:t>评分项目</w:t>
            </w:r>
          </w:p>
        </w:tc>
        <w:tc>
          <w:tcPr>
            <w:tcW w:w="6614" w:type="dxa"/>
            <w:gridSpan w:val="2"/>
            <w:vAlign w:val="center"/>
          </w:tcPr>
          <w:p>
            <w:pPr>
              <w:jc w:val="center"/>
              <w:rPr>
                <w:rFonts w:ascii="宋体" w:hAnsi="宋体" w:cs="宋体"/>
                <w:b/>
                <w:szCs w:val="21"/>
                <w:highlight w:val="none"/>
              </w:rPr>
            </w:pPr>
            <w:r>
              <w:rPr>
                <w:rFonts w:hint="eastAsia" w:ascii="宋体" w:hAnsi="宋体" w:cs="宋体"/>
                <w:b/>
                <w:szCs w:val="21"/>
                <w:highlight w:val="none"/>
              </w:rPr>
              <w:t>评分标准</w:t>
            </w:r>
          </w:p>
        </w:tc>
        <w:tc>
          <w:tcPr>
            <w:tcW w:w="601" w:type="dxa"/>
          </w:tcPr>
          <w:p>
            <w:pPr>
              <w:ind w:firstLine="1054" w:firstLineChars="500"/>
              <w:jc w:val="center"/>
              <w:rPr>
                <w:rFonts w:ascii="宋体" w:hAnsi="宋体" w:cs="宋体"/>
                <w:b/>
                <w:szCs w:val="21"/>
                <w:highlight w:val="none"/>
              </w:rPr>
            </w:pPr>
            <w:r>
              <w:rPr>
                <w:rFonts w:hint="eastAsia" w:ascii="宋体" w:hAnsi="宋体" w:cs="宋体"/>
                <w:b/>
                <w:szCs w:val="21"/>
                <w:highlight w:val="none"/>
              </w:rPr>
              <w:t>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960" w:type="dxa"/>
            <w:gridSpan w:val="5"/>
            <w:vAlign w:val="center"/>
          </w:tcPr>
          <w:p>
            <w:pPr>
              <w:rPr>
                <w:rFonts w:ascii="宋体" w:hAnsi="宋体" w:cs="宋体"/>
                <w:szCs w:val="21"/>
                <w:highlight w:val="none"/>
              </w:rPr>
            </w:pPr>
            <w:r>
              <w:rPr>
                <w:rFonts w:hint="eastAsia" w:ascii="宋体" w:hAnsi="宋体" w:cs="宋体"/>
                <w:szCs w:val="21"/>
                <w:highlight w:val="none"/>
              </w:rPr>
              <w:t>一、价格分值（</w:t>
            </w:r>
            <w:r>
              <w:rPr>
                <w:rFonts w:hint="eastAsia" w:ascii="宋体" w:hAnsi="宋体" w:cs="宋体"/>
                <w:szCs w:val="21"/>
                <w:highlight w:val="none"/>
                <w:lang w:val="en-US" w:eastAsia="zh-CN"/>
              </w:rPr>
              <w:t>30</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4" w:type="dxa"/>
            <w:vAlign w:val="center"/>
          </w:tcPr>
          <w:p>
            <w:pPr>
              <w:jc w:val="center"/>
              <w:rPr>
                <w:rFonts w:ascii="宋体" w:hAnsi="宋体" w:cs="宋体"/>
                <w:szCs w:val="21"/>
                <w:highlight w:val="none"/>
              </w:rPr>
            </w:pPr>
            <w:r>
              <w:rPr>
                <w:rFonts w:ascii="宋体" w:hAnsi="宋体" w:cs="宋体"/>
                <w:szCs w:val="21"/>
                <w:highlight w:val="none"/>
              </w:rPr>
              <w:t>1</w:t>
            </w:r>
          </w:p>
        </w:tc>
        <w:tc>
          <w:tcPr>
            <w:tcW w:w="1191" w:type="dxa"/>
            <w:vAlign w:val="center"/>
          </w:tcPr>
          <w:p>
            <w:pPr>
              <w:jc w:val="center"/>
              <w:rPr>
                <w:rFonts w:ascii="宋体" w:hAnsi="宋体" w:cs="宋体"/>
                <w:szCs w:val="21"/>
                <w:highlight w:val="none"/>
              </w:rPr>
            </w:pPr>
            <w:r>
              <w:rPr>
                <w:rFonts w:hint="eastAsia" w:ascii="宋体" w:hAnsi="宋体" w:cs="宋体"/>
                <w:szCs w:val="21"/>
                <w:highlight w:val="none"/>
              </w:rPr>
              <w:t>价格部分</w:t>
            </w:r>
          </w:p>
        </w:tc>
        <w:tc>
          <w:tcPr>
            <w:tcW w:w="6614" w:type="dxa"/>
            <w:gridSpan w:val="2"/>
            <w:vAlign w:val="center"/>
          </w:tcPr>
          <w:p>
            <w:pPr>
              <w:jc w:val="left"/>
              <w:rPr>
                <w:rFonts w:ascii="宋体" w:hAnsi="宋体" w:cs="宋体"/>
                <w:szCs w:val="21"/>
                <w:highlight w:val="none"/>
                <w:lang w:val="en-GB"/>
              </w:rPr>
            </w:pPr>
            <w:r>
              <w:rPr>
                <w:rFonts w:hint="eastAsia" w:ascii="宋体" w:hAnsi="宋体" w:cs="宋体"/>
                <w:szCs w:val="21"/>
                <w:highlight w:val="none"/>
                <w:lang w:val="en-GB"/>
              </w:rPr>
              <w:t>（1）报价采用低价优先法计算，即满足磋商采购文件要求且报价最低的报价为磋商基准价，其报价分为满分1</w:t>
            </w:r>
            <w:r>
              <w:rPr>
                <w:rFonts w:ascii="宋体" w:hAnsi="宋体" w:cs="宋体"/>
                <w:szCs w:val="21"/>
                <w:highlight w:val="none"/>
                <w:lang w:val="en-GB"/>
              </w:rPr>
              <w:t>5</w:t>
            </w:r>
            <w:r>
              <w:rPr>
                <w:rFonts w:hint="eastAsia" w:ascii="宋体" w:hAnsi="宋体" w:cs="宋体"/>
                <w:szCs w:val="21"/>
                <w:highlight w:val="none"/>
                <w:lang w:val="en-GB"/>
              </w:rPr>
              <w:t>分；</w:t>
            </w:r>
          </w:p>
          <w:p>
            <w:pPr>
              <w:pStyle w:val="2"/>
              <w:rPr>
                <w:highlight w:val="none"/>
                <w:lang w:val="en-GB"/>
              </w:rPr>
            </w:pPr>
            <w:r>
              <w:rPr>
                <w:rFonts w:hint="eastAsia" w:ascii="宋体" w:hAnsi="宋体" w:cs="宋体"/>
                <w:highlight w:val="none"/>
                <w:lang w:val="en-GB"/>
              </w:rPr>
              <w:t>（2）其他供应商的报价分按照下列公式计算：</w:t>
            </w:r>
          </w:p>
          <w:p>
            <w:pPr>
              <w:jc w:val="left"/>
              <w:rPr>
                <w:rFonts w:ascii="宋体" w:hAnsi="宋体" w:cs="宋体"/>
                <w:szCs w:val="21"/>
                <w:highlight w:val="none"/>
                <w:lang w:val="en-GB"/>
              </w:rPr>
            </w:pPr>
            <w:r>
              <w:rPr>
                <w:rFonts w:hint="eastAsia" w:ascii="宋体" w:hAnsi="宋体" w:cs="宋体"/>
                <w:szCs w:val="21"/>
                <w:highlight w:val="none"/>
                <w:lang w:val="en-GB"/>
              </w:rPr>
              <w:t>报价分=（磋商基准价/磋商报价）×</w:t>
            </w:r>
            <w:r>
              <w:rPr>
                <w:rFonts w:ascii="宋体" w:hAnsi="宋体" w:cs="宋体"/>
                <w:szCs w:val="21"/>
                <w:highlight w:val="none"/>
              </w:rPr>
              <w:t>15</w:t>
            </w:r>
          </w:p>
          <w:p>
            <w:pPr>
              <w:widowControl/>
              <w:jc w:val="left"/>
              <w:textAlignment w:val="center"/>
              <w:rPr>
                <w:rFonts w:ascii="宋体" w:hAnsi="宋体" w:cs="宋体"/>
                <w:b/>
                <w:bCs/>
                <w:szCs w:val="21"/>
                <w:highlight w:val="none"/>
              </w:rPr>
            </w:pPr>
            <w:r>
              <w:rPr>
                <w:rFonts w:hint="eastAsia" w:ascii="宋体" w:hAnsi="宋体" w:cs="宋体"/>
                <w:b/>
                <w:bCs/>
                <w:szCs w:val="21"/>
                <w:highlight w:val="none"/>
              </w:rPr>
              <w:t>备注：1）如发现投标人的最后报价明显低于其他通过资格审查及符合性审查的投标人的投标报价，磋商小组认为有可能影响项目实施及服务质量或者不能诚信履约的，可启用澄清程序，有权要求投标人在合理的时间内出具投标报价的合理分析，投标人不能合理说明或者不能提供相关证明材料的，磋商小组可认定该投标人以低于成本报价投标，有权将其报价作无效处理。</w:t>
            </w:r>
          </w:p>
          <w:p>
            <w:pPr>
              <w:pStyle w:val="2"/>
              <w:rPr>
                <w:highlight w:val="none"/>
              </w:rPr>
            </w:pPr>
            <w:r>
              <w:rPr>
                <w:rFonts w:ascii="宋体" w:hAnsi="宋体"/>
                <w:b/>
                <w:highlight w:val="none"/>
              </w:rPr>
              <w:t>2</w:t>
            </w:r>
            <w:r>
              <w:rPr>
                <w:rFonts w:hint="eastAsia" w:ascii="宋体" w:hAnsi="宋体"/>
                <w:b/>
                <w:highlight w:val="none"/>
              </w:rPr>
              <w:t>）符合本磋商文件第四章“政策支持”条件的，在评审时予以价格扣除，用扣除后的价格参与评审。</w:t>
            </w:r>
          </w:p>
        </w:tc>
        <w:tc>
          <w:tcPr>
            <w:tcW w:w="601" w:type="dxa"/>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960" w:type="dxa"/>
            <w:gridSpan w:val="5"/>
            <w:vAlign w:val="center"/>
          </w:tcPr>
          <w:p>
            <w:pPr>
              <w:jc w:val="left"/>
              <w:rPr>
                <w:rFonts w:ascii="宋体" w:hAnsi="宋体" w:cs="宋体"/>
                <w:szCs w:val="21"/>
                <w:highlight w:val="none"/>
              </w:rPr>
            </w:pPr>
            <w:r>
              <w:rPr>
                <w:rFonts w:hint="eastAsia" w:ascii="宋体" w:hAnsi="宋体" w:cs="宋体"/>
                <w:szCs w:val="21"/>
                <w:highlight w:val="none"/>
              </w:rPr>
              <w:t>二、商务分值（4</w:t>
            </w:r>
            <w:r>
              <w:rPr>
                <w:rFonts w:ascii="宋体" w:hAnsi="宋体" w:cs="宋体"/>
                <w:szCs w:val="21"/>
                <w:highlight w:val="none"/>
              </w:rPr>
              <w:t>0</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54" w:type="dxa"/>
            <w:vMerge w:val="restart"/>
            <w:vAlign w:val="center"/>
          </w:tcPr>
          <w:p>
            <w:pPr>
              <w:jc w:val="center"/>
              <w:rPr>
                <w:rFonts w:ascii="宋体" w:hAnsi="宋体" w:cs="宋体"/>
                <w:szCs w:val="21"/>
                <w:highlight w:val="none"/>
              </w:rPr>
            </w:pPr>
            <w:r>
              <w:rPr>
                <w:rFonts w:hint="eastAsia" w:ascii="宋体" w:hAnsi="宋体" w:cs="宋体"/>
                <w:szCs w:val="21"/>
                <w:highlight w:val="none"/>
              </w:rPr>
              <w:t>2</w:t>
            </w:r>
          </w:p>
        </w:tc>
        <w:tc>
          <w:tcPr>
            <w:tcW w:w="1191" w:type="dxa"/>
            <w:vMerge w:val="restart"/>
            <w:vAlign w:val="center"/>
          </w:tcPr>
          <w:p>
            <w:pPr>
              <w:jc w:val="center"/>
              <w:rPr>
                <w:rFonts w:ascii="宋体" w:hAnsi="宋体" w:cs="宋体"/>
                <w:szCs w:val="21"/>
                <w:highlight w:val="none"/>
              </w:rPr>
            </w:pPr>
            <w:r>
              <w:rPr>
                <w:rFonts w:hint="eastAsia" w:ascii="宋体" w:hAnsi="宋体" w:cs="宋体"/>
                <w:kern w:val="0"/>
                <w:szCs w:val="21"/>
                <w:highlight w:val="none"/>
              </w:rPr>
              <w:t>商务部分</w:t>
            </w:r>
          </w:p>
        </w:tc>
        <w:tc>
          <w:tcPr>
            <w:tcW w:w="709" w:type="dxa"/>
            <w:vAlign w:val="center"/>
          </w:tcPr>
          <w:p>
            <w:pPr>
              <w:jc w:val="center"/>
              <w:rPr>
                <w:rFonts w:ascii="宋体" w:hAnsi="宋体" w:cs="宋体"/>
                <w:szCs w:val="21"/>
                <w:highlight w:val="none"/>
              </w:rPr>
            </w:pPr>
            <w:r>
              <w:rPr>
                <w:rFonts w:hint="eastAsia" w:ascii="宋体" w:hAnsi="宋体" w:cs="宋体"/>
                <w:szCs w:val="21"/>
                <w:highlight w:val="none"/>
              </w:rPr>
              <w:t>企业资质</w:t>
            </w:r>
          </w:p>
        </w:tc>
        <w:tc>
          <w:tcPr>
            <w:tcW w:w="5905" w:type="dxa"/>
            <w:vAlign w:val="center"/>
          </w:tcPr>
          <w:p>
            <w:pPr>
              <w:jc w:val="left"/>
              <w:rPr>
                <w:rFonts w:ascii="宋体" w:hAnsi="宋体" w:cs="仿宋_GB2312"/>
                <w:b/>
                <w:szCs w:val="21"/>
                <w:highlight w:val="none"/>
              </w:rPr>
            </w:pPr>
            <w:r>
              <w:rPr>
                <w:rFonts w:hint="eastAsia" w:ascii="宋体" w:hAnsi="宋体" w:cs="仿宋_GB2312"/>
                <w:b/>
                <w:szCs w:val="21"/>
                <w:highlight w:val="none"/>
              </w:rPr>
              <w:t>供应商应具备以下证书：</w:t>
            </w:r>
          </w:p>
          <w:p>
            <w:pPr>
              <w:rPr>
                <w:rFonts w:ascii="宋体" w:hAnsi="宋体"/>
                <w:szCs w:val="21"/>
                <w:highlight w:val="none"/>
              </w:rPr>
            </w:pPr>
            <w:r>
              <w:rPr>
                <w:rFonts w:hint="eastAsia" w:ascii="宋体" w:hAnsi="宋体"/>
                <w:szCs w:val="21"/>
                <w:highlight w:val="none"/>
              </w:rPr>
              <w:t>质量管理体系认证证书、信息安全管理体系认证证书、</w:t>
            </w:r>
            <w:r>
              <w:rPr>
                <w:rFonts w:hint="eastAsia" w:ascii="宋体" w:hAnsi="宋体"/>
                <w:highlight w:val="none"/>
              </w:rPr>
              <w:t>信息技术服务管理体系认证证书</w:t>
            </w:r>
            <w:r>
              <w:rPr>
                <w:rFonts w:hint="eastAsia" w:ascii="宋体" w:hAnsi="宋体"/>
                <w:szCs w:val="21"/>
                <w:highlight w:val="none"/>
              </w:rPr>
              <w:t>、售后服务认证证书、</w:t>
            </w:r>
            <w:r>
              <w:rPr>
                <w:rFonts w:hint="eastAsia" w:ascii="宋体" w:hAnsi="宋体"/>
                <w:highlight w:val="none"/>
              </w:rPr>
              <w:t>职业健康安全管理体系认证证书</w:t>
            </w:r>
            <w:r>
              <w:rPr>
                <w:rFonts w:hint="eastAsia" w:ascii="宋体" w:hAnsi="宋体"/>
                <w:szCs w:val="21"/>
                <w:highlight w:val="none"/>
              </w:rPr>
              <w:t>、</w:t>
            </w:r>
            <w:r>
              <w:rPr>
                <w:rFonts w:hint="eastAsia" w:ascii="宋体" w:hAnsi="宋体"/>
                <w:highlight w:val="none"/>
              </w:rPr>
              <w:t>3</w:t>
            </w:r>
            <w:r>
              <w:rPr>
                <w:rFonts w:ascii="宋体" w:hAnsi="宋体"/>
                <w:highlight w:val="none"/>
              </w:rPr>
              <w:t>A</w:t>
            </w:r>
            <w:r>
              <w:rPr>
                <w:rFonts w:hint="eastAsia" w:ascii="宋体" w:hAnsi="宋体"/>
                <w:highlight w:val="none"/>
              </w:rPr>
              <w:t>级重合同守信用企业证书、</w:t>
            </w:r>
            <w:r>
              <w:rPr>
                <w:rFonts w:hint="eastAsia" w:ascii="宋体" w:hAnsi="宋体"/>
                <w:szCs w:val="21"/>
                <w:highlight w:val="none"/>
              </w:rPr>
              <w:t>3</w:t>
            </w:r>
            <w:r>
              <w:rPr>
                <w:rFonts w:ascii="宋体" w:hAnsi="宋体"/>
                <w:szCs w:val="21"/>
                <w:highlight w:val="none"/>
              </w:rPr>
              <w:t>A</w:t>
            </w:r>
            <w:r>
              <w:rPr>
                <w:rFonts w:hint="eastAsia" w:ascii="宋体" w:hAnsi="宋体"/>
                <w:szCs w:val="21"/>
                <w:highlight w:val="none"/>
              </w:rPr>
              <w:t>级企业信用等级证书、</w:t>
            </w:r>
            <w:r>
              <w:rPr>
                <w:rFonts w:hint="eastAsia" w:ascii="宋体" w:hAnsi="宋体" w:cs="仿宋_GB2312"/>
                <w:szCs w:val="21"/>
                <w:highlight w:val="none"/>
              </w:rPr>
              <w:t>高新技术企业证书</w:t>
            </w:r>
          </w:p>
          <w:p>
            <w:pPr>
              <w:jc w:val="left"/>
              <w:rPr>
                <w:highlight w:val="none"/>
              </w:rPr>
            </w:pPr>
            <w:r>
              <w:rPr>
                <w:rFonts w:hint="eastAsia" w:ascii="宋体" w:hAnsi="宋体" w:cs="仿宋_GB2312"/>
                <w:szCs w:val="21"/>
                <w:highlight w:val="none"/>
              </w:rPr>
              <w:t>每提供一项得</w:t>
            </w:r>
            <w:r>
              <w:rPr>
                <w:rFonts w:ascii="宋体" w:hAnsi="宋体" w:cs="仿宋_GB2312"/>
                <w:szCs w:val="21"/>
                <w:highlight w:val="none"/>
              </w:rPr>
              <w:t>0.</w:t>
            </w:r>
            <w:r>
              <w:rPr>
                <w:rFonts w:hint="eastAsia" w:ascii="宋体" w:hAnsi="宋体" w:cs="仿宋_GB2312"/>
                <w:szCs w:val="21"/>
                <w:highlight w:val="none"/>
              </w:rPr>
              <w:t>5分，最多得4分。</w:t>
            </w:r>
            <w:r>
              <w:rPr>
                <w:rFonts w:hint="eastAsia" w:ascii="宋体" w:hAnsi="宋体" w:cs="宋体"/>
                <w:bCs/>
                <w:szCs w:val="21"/>
                <w:highlight w:val="none"/>
              </w:rPr>
              <w:t>（</w:t>
            </w:r>
            <w:r>
              <w:rPr>
                <w:rFonts w:hint="eastAsia" w:ascii="宋体" w:hAnsi="宋体" w:cs="宋体"/>
                <w:bCs/>
                <w:kern w:val="0"/>
                <w:szCs w:val="21"/>
                <w:highlight w:val="none"/>
              </w:rPr>
              <w:t>须提供证书复印件并加盖投标人公章</w:t>
            </w:r>
            <w:r>
              <w:rPr>
                <w:rFonts w:hint="eastAsia" w:ascii="宋体" w:hAnsi="宋体" w:cs="宋体"/>
                <w:bCs/>
                <w:szCs w:val="21"/>
                <w:highlight w:val="none"/>
              </w:rPr>
              <w:t>）</w:t>
            </w:r>
          </w:p>
          <w:p>
            <w:pPr>
              <w:jc w:val="left"/>
              <w:rPr>
                <w:rFonts w:ascii="宋体" w:hAnsi="宋体" w:cs="宋体"/>
                <w:b/>
                <w:bCs/>
                <w:szCs w:val="21"/>
                <w:highlight w:val="none"/>
              </w:rPr>
            </w:pPr>
            <w:r>
              <w:rPr>
                <w:rFonts w:hint="eastAsia" w:ascii="宋体" w:hAnsi="宋体" w:cs="宋体"/>
                <w:b/>
                <w:bCs/>
                <w:szCs w:val="21"/>
                <w:highlight w:val="none"/>
              </w:rPr>
              <w:t>供应商具有以下计算机软件著作权登记证书：</w:t>
            </w:r>
          </w:p>
          <w:p>
            <w:pPr>
              <w:jc w:val="left"/>
              <w:rPr>
                <w:rFonts w:ascii="宋体" w:hAnsi="宋体" w:cs="宋体"/>
                <w:bCs/>
                <w:szCs w:val="21"/>
                <w:highlight w:val="none"/>
              </w:rPr>
            </w:pPr>
            <w:r>
              <w:rPr>
                <w:rFonts w:hint="eastAsia" w:ascii="宋体" w:hAnsi="宋体" w:cs="宋体"/>
                <w:bCs/>
                <w:szCs w:val="21"/>
                <w:highlight w:val="none"/>
              </w:rPr>
              <w:t>门户管理平台、大数据综合分析展示系统、标准开放式接口系统、微服务平台、数据整合服务系统、数据中心系统。</w:t>
            </w:r>
          </w:p>
          <w:p>
            <w:pPr>
              <w:jc w:val="left"/>
              <w:rPr>
                <w:rFonts w:ascii="宋体" w:hAnsi="宋体" w:cs="仿宋_GB2312"/>
                <w:szCs w:val="21"/>
                <w:highlight w:val="none"/>
              </w:rPr>
            </w:pPr>
            <w:r>
              <w:rPr>
                <w:rFonts w:hint="eastAsia" w:ascii="宋体" w:hAnsi="宋体" w:cs="宋体"/>
                <w:bCs/>
                <w:szCs w:val="21"/>
                <w:highlight w:val="none"/>
              </w:rPr>
              <w:t>每提供1个证书得1分，最多得6分。（</w:t>
            </w:r>
            <w:r>
              <w:rPr>
                <w:rFonts w:hint="eastAsia" w:ascii="宋体" w:hAnsi="宋体" w:cs="宋体"/>
                <w:bCs/>
                <w:kern w:val="0"/>
                <w:szCs w:val="21"/>
                <w:highlight w:val="none"/>
              </w:rPr>
              <w:t>须提供证书复印件并加盖投标人公章</w:t>
            </w:r>
            <w:r>
              <w:rPr>
                <w:rFonts w:hint="eastAsia" w:ascii="宋体" w:hAnsi="宋体" w:cs="宋体"/>
                <w:bCs/>
                <w:szCs w:val="21"/>
                <w:highlight w:val="none"/>
              </w:rPr>
              <w:t>）</w:t>
            </w:r>
          </w:p>
        </w:tc>
        <w:tc>
          <w:tcPr>
            <w:tcW w:w="601" w:type="dxa"/>
            <w:vAlign w:val="center"/>
          </w:tcPr>
          <w:p>
            <w:pPr>
              <w:jc w:val="center"/>
              <w:rPr>
                <w:rFonts w:ascii="宋体" w:hAnsi="宋体" w:cs="宋体"/>
                <w:szCs w:val="21"/>
                <w:highlight w:val="none"/>
              </w:rPr>
            </w:pPr>
            <w:r>
              <w:rPr>
                <w:rFonts w:ascii="宋体" w:hAnsi="宋体" w:cs="宋体"/>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54" w:type="dxa"/>
            <w:vMerge w:val="continue"/>
            <w:vAlign w:val="center"/>
          </w:tcPr>
          <w:p>
            <w:pPr>
              <w:jc w:val="center"/>
              <w:rPr>
                <w:rFonts w:ascii="宋体" w:hAnsi="宋体" w:cs="宋体"/>
                <w:szCs w:val="21"/>
                <w:highlight w:val="none"/>
              </w:rPr>
            </w:pPr>
          </w:p>
        </w:tc>
        <w:tc>
          <w:tcPr>
            <w:tcW w:w="1191" w:type="dxa"/>
            <w:vMerge w:val="continue"/>
            <w:vAlign w:val="center"/>
          </w:tcPr>
          <w:p>
            <w:pPr>
              <w:jc w:val="center"/>
              <w:rPr>
                <w:rFonts w:ascii="宋体" w:hAnsi="宋体" w:cs="宋体"/>
                <w:kern w:val="0"/>
                <w:szCs w:val="21"/>
                <w:highlight w:val="none"/>
              </w:rPr>
            </w:pPr>
          </w:p>
        </w:tc>
        <w:tc>
          <w:tcPr>
            <w:tcW w:w="709" w:type="dxa"/>
            <w:vAlign w:val="center"/>
          </w:tcPr>
          <w:p>
            <w:pPr>
              <w:jc w:val="center"/>
              <w:rPr>
                <w:rFonts w:ascii="宋体" w:hAnsi="宋体" w:cs="宋体"/>
                <w:szCs w:val="21"/>
                <w:highlight w:val="none"/>
              </w:rPr>
            </w:pPr>
            <w:r>
              <w:rPr>
                <w:rFonts w:hint="eastAsia" w:ascii="宋体" w:hAnsi="宋体" w:cs="宋体"/>
                <w:szCs w:val="21"/>
                <w:highlight w:val="none"/>
              </w:rPr>
              <w:t>设计方案</w:t>
            </w:r>
          </w:p>
        </w:tc>
        <w:tc>
          <w:tcPr>
            <w:tcW w:w="5905" w:type="dxa"/>
            <w:vAlign w:val="center"/>
          </w:tcPr>
          <w:p>
            <w:pPr>
              <w:adjustRightInd w:val="0"/>
              <w:snapToGrid w:val="0"/>
              <w:jc w:val="left"/>
              <w:rPr>
                <w:rFonts w:ascii="宋体" w:hAnsi="宋体" w:cs="仿宋_GB2312"/>
                <w:b/>
                <w:kern w:val="0"/>
                <w:szCs w:val="21"/>
                <w:highlight w:val="none"/>
              </w:rPr>
            </w:pPr>
            <w:r>
              <w:rPr>
                <w:rFonts w:hint="eastAsia" w:ascii="宋体" w:hAnsi="宋体" w:cs="仿宋_GB2312"/>
                <w:b/>
                <w:kern w:val="0"/>
                <w:szCs w:val="21"/>
                <w:highlight w:val="none"/>
              </w:rPr>
              <w:t>按设计方案是否合理、实用性、系统安全是否稳定可靠，架构成熟度等进行评分。</w:t>
            </w:r>
          </w:p>
          <w:p>
            <w:pPr>
              <w:adjustRightInd w:val="0"/>
              <w:snapToGrid w:val="0"/>
              <w:jc w:val="left"/>
              <w:rPr>
                <w:rFonts w:ascii="宋体" w:hAnsi="宋体" w:cs="仿宋_GB2312"/>
                <w:kern w:val="0"/>
                <w:szCs w:val="21"/>
                <w:highlight w:val="none"/>
              </w:rPr>
            </w:pPr>
            <w:r>
              <w:rPr>
                <w:rFonts w:hint="eastAsia" w:ascii="宋体" w:hAnsi="宋体" w:cs="仿宋_GB2312"/>
                <w:kern w:val="0"/>
                <w:szCs w:val="21"/>
                <w:highlight w:val="none"/>
              </w:rPr>
              <w:t>设计方案完全符合采购文件要求，方案具有较强的可扩展能力系统架构成熟度优秀。得5分。</w:t>
            </w:r>
          </w:p>
          <w:p>
            <w:pPr>
              <w:pStyle w:val="2"/>
              <w:jc w:val="both"/>
              <w:rPr>
                <w:rFonts w:ascii="宋体" w:hAnsi="宋体"/>
                <w:highlight w:val="none"/>
              </w:rPr>
            </w:pPr>
            <w:r>
              <w:rPr>
                <w:rFonts w:hint="eastAsia" w:ascii="宋体" w:hAnsi="宋体" w:cs="仿宋_GB2312"/>
                <w:highlight w:val="none"/>
              </w:rPr>
              <w:t>设计方案符合采购文件要求，方案系统架构成熟度良好。得3分。</w:t>
            </w:r>
          </w:p>
          <w:p>
            <w:pPr>
              <w:adjustRightInd w:val="0"/>
              <w:snapToGrid w:val="0"/>
              <w:jc w:val="left"/>
              <w:rPr>
                <w:rFonts w:ascii="宋体" w:hAnsi="宋体" w:cs="仿宋_GB2312"/>
                <w:kern w:val="0"/>
                <w:szCs w:val="21"/>
                <w:highlight w:val="none"/>
              </w:rPr>
            </w:pPr>
            <w:r>
              <w:rPr>
                <w:rFonts w:hint="eastAsia" w:ascii="宋体" w:hAnsi="宋体" w:cs="仿宋_GB2312"/>
                <w:kern w:val="0"/>
                <w:szCs w:val="21"/>
                <w:highlight w:val="none"/>
              </w:rPr>
              <w:t>设计方案基本符合采购文件要求，方案系统架构成熟度一般。得</w:t>
            </w:r>
            <w:r>
              <w:rPr>
                <w:rFonts w:ascii="宋体" w:hAnsi="宋体" w:cs="仿宋_GB2312"/>
                <w:kern w:val="0"/>
                <w:szCs w:val="21"/>
                <w:highlight w:val="none"/>
              </w:rPr>
              <w:t>1</w:t>
            </w:r>
            <w:r>
              <w:rPr>
                <w:rFonts w:hint="eastAsia" w:ascii="宋体" w:hAnsi="宋体" w:cs="仿宋_GB2312"/>
                <w:kern w:val="0"/>
                <w:szCs w:val="21"/>
                <w:highlight w:val="none"/>
              </w:rPr>
              <w:t>分。</w:t>
            </w:r>
          </w:p>
          <w:p>
            <w:pPr>
              <w:adjustRightInd w:val="0"/>
              <w:snapToGrid w:val="0"/>
              <w:jc w:val="left"/>
              <w:rPr>
                <w:rFonts w:ascii="宋体" w:hAnsi="宋体" w:cs="宋体"/>
                <w:szCs w:val="21"/>
                <w:highlight w:val="none"/>
              </w:rPr>
            </w:pPr>
            <w:r>
              <w:rPr>
                <w:rFonts w:hint="eastAsia" w:ascii="宋体" w:hAnsi="宋体" w:cs="仿宋_GB2312"/>
                <w:kern w:val="0"/>
                <w:szCs w:val="21"/>
                <w:highlight w:val="none"/>
              </w:rPr>
              <w:t>其余不得分。</w:t>
            </w:r>
          </w:p>
        </w:tc>
        <w:tc>
          <w:tcPr>
            <w:tcW w:w="601" w:type="dxa"/>
            <w:vAlign w:val="center"/>
          </w:tcPr>
          <w:p>
            <w:pPr>
              <w:jc w:val="center"/>
              <w:rPr>
                <w:rFonts w:ascii="宋体" w:hAnsi="宋体" w:cs="宋体"/>
                <w:szCs w:val="21"/>
                <w:highlight w:val="none"/>
              </w:rPr>
            </w:pPr>
            <w:r>
              <w:rPr>
                <w:rFonts w:hint="eastAsia" w:ascii="宋体" w:hAnsi="宋体" w:cs="宋体"/>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dxa"/>
            <w:vMerge w:val="continue"/>
            <w:vAlign w:val="center"/>
          </w:tcPr>
          <w:p>
            <w:pPr>
              <w:jc w:val="center"/>
              <w:rPr>
                <w:rFonts w:ascii="宋体" w:hAnsi="宋体" w:cs="宋体"/>
                <w:szCs w:val="21"/>
                <w:highlight w:val="none"/>
              </w:rPr>
            </w:pPr>
          </w:p>
        </w:tc>
        <w:tc>
          <w:tcPr>
            <w:tcW w:w="1191" w:type="dxa"/>
            <w:vMerge w:val="continue"/>
            <w:vAlign w:val="center"/>
          </w:tcPr>
          <w:p>
            <w:pPr>
              <w:jc w:val="center"/>
              <w:rPr>
                <w:rFonts w:ascii="宋体" w:hAnsi="宋体" w:cs="宋体"/>
                <w:kern w:val="0"/>
                <w:szCs w:val="21"/>
                <w:highlight w:val="none"/>
              </w:rPr>
            </w:pPr>
          </w:p>
        </w:tc>
        <w:tc>
          <w:tcPr>
            <w:tcW w:w="709" w:type="dxa"/>
            <w:vAlign w:val="center"/>
          </w:tcPr>
          <w:p>
            <w:pPr>
              <w:jc w:val="center"/>
              <w:rPr>
                <w:rFonts w:ascii="宋体" w:hAnsi="宋体" w:cs="宋体"/>
                <w:szCs w:val="21"/>
                <w:highlight w:val="none"/>
              </w:rPr>
            </w:pPr>
            <w:r>
              <w:rPr>
                <w:rFonts w:hint="eastAsia" w:ascii="宋体" w:hAnsi="宋体" w:cs="宋体"/>
                <w:szCs w:val="21"/>
                <w:highlight w:val="none"/>
              </w:rPr>
              <w:t>实施方案</w:t>
            </w:r>
          </w:p>
        </w:tc>
        <w:tc>
          <w:tcPr>
            <w:tcW w:w="5905" w:type="dxa"/>
            <w:vAlign w:val="center"/>
          </w:tcPr>
          <w:p>
            <w:pPr>
              <w:pStyle w:val="7"/>
              <w:adjustRightInd w:val="0"/>
              <w:snapToGrid w:val="0"/>
              <w:spacing w:beforeAutospacing="0" w:afterAutospacing="0"/>
              <w:rPr>
                <w:rFonts w:cs="仿宋_GB2312"/>
                <w:kern w:val="2"/>
                <w:sz w:val="21"/>
                <w:szCs w:val="21"/>
                <w:highlight w:val="none"/>
              </w:rPr>
            </w:pPr>
            <w:r>
              <w:rPr>
                <w:rFonts w:hint="eastAsia" w:cs="仿宋_GB2312"/>
                <w:kern w:val="2"/>
                <w:sz w:val="21"/>
                <w:szCs w:val="21"/>
                <w:highlight w:val="none"/>
              </w:rPr>
              <w:t>整体实施方案设计合理，具有明确的项目实施进度计划，合理分解项目任务，准确计算各项任务完成时间；实施方案科学可行，能有效的控制实施风险，具有明确的组织实施机构、实施过程描述和实施管理办法。得5分。</w:t>
            </w:r>
          </w:p>
          <w:p>
            <w:pPr>
              <w:pStyle w:val="7"/>
              <w:adjustRightInd w:val="0"/>
              <w:snapToGrid w:val="0"/>
              <w:spacing w:beforeAutospacing="0" w:afterAutospacing="0"/>
              <w:rPr>
                <w:rFonts w:cs="仿宋_GB2312"/>
                <w:kern w:val="2"/>
                <w:sz w:val="21"/>
                <w:szCs w:val="21"/>
                <w:highlight w:val="none"/>
              </w:rPr>
            </w:pPr>
            <w:r>
              <w:rPr>
                <w:rFonts w:hint="eastAsia" w:cs="仿宋_GB2312"/>
                <w:kern w:val="2"/>
                <w:sz w:val="21"/>
                <w:szCs w:val="21"/>
                <w:highlight w:val="none"/>
              </w:rPr>
              <w:t>实施方案设计合理，有较明确的项目实施进度计划，较合理分解项目任务，较准确计算各项任务完成时间；实施方案科学较可行，有组织实施机构、实施过程描述和实施管理办法。得3分。</w:t>
            </w:r>
          </w:p>
          <w:p>
            <w:pPr>
              <w:pStyle w:val="7"/>
              <w:adjustRightInd w:val="0"/>
              <w:snapToGrid w:val="0"/>
              <w:spacing w:beforeAutospacing="0" w:afterAutospacing="0"/>
              <w:rPr>
                <w:rFonts w:cs="仿宋_GB2312"/>
                <w:kern w:val="2"/>
                <w:sz w:val="21"/>
                <w:szCs w:val="21"/>
                <w:highlight w:val="none"/>
              </w:rPr>
            </w:pPr>
            <w:r>
              <w:rPr>
                <w:rFonts w:hint="eastAsia" w:cs="仿宋_GB2312"/>
                <w:kern w:val="2"/>
                <w:sz w:val="21"/>
                <w:szCs w:val="21"/>
                <w:highlight w:val="none"/>
              </w:rPr>
              <w:t>实施方案一般，有简单的项目实施进度计划；实施方案基本科学可行，有组织实施机构、实施过程描述和实施管理办法。得</w:t>
            </w:r>
            <w:r>
              <w:rPr>
                <w:rFonts w:cs="仿宋_GB2312"/>
                <w:kern w:val="2"/>
                <w:sz w:val="21"/>
                <w:szCs w:val="21"/>
                <w:highlight w:val="none"/>
              </w:rPr>
              <w:t>1</w:t>
            </w:r>
            <w:r>
              <w:rPr>
                <w:rFonts w:hint="eastAsia" w:cs="仿宋_GB2312"/>
                <w:kern w:val="2"/>
                <w:sz w:val="21"/>
                <w:szCs w:val="21"/>
                <w:highlight w:val="none"/>
              </w:rPr>
              <w:t>分。</w:t>
            </w:r>
          </w:p>
          <w:p>
            <w:pPr>
              <w:pStyle w:val="7"/>
              <w:adjustRightInd w:val="0"/>
              <w:snapToGrid w:val="0"/>
              <w:spacing w:beforeAutospacing="0" w:afterAutospacing="0"/>
              <w:rPr>
                <w:rFonts w:cs="仿宋_GB2312"/>
                <w:kern w:val="2"/>
                <w:sz w:val="21"/>
                <w:szCs w:val="21"/>
                <w:highlight w:val="none"/>
              </w:rPr>
            </w:pPr>
            <w:r>
              <w:rPr>
                <w:rFonts w:hint="eastAsia" w:cs="仿宋_GB2312"/>
                <w:sz w:val="21"/>
                <w:szCs w:val="21"/>
                <w:highlight w:val="none"/>
              </w:rPr>
              <w:t>其余不得分。</w:t>
            </w:r>
          </w:p>
        </w:tc>
        <w:tc>
          <w:tcPr>
            <w:tcW w:w="601" w:type="dxa"/>
            <w:vAlign w:val="center"/>
          </w:tcPr>
          <w:p>
            <w:pPr>
              <w:jc w:val="center"/>
              <w:rPr>
                <w:rFonts w:ascii="宋体" w:hAnsi="宋体" w:cs="宋体"/>
                <w:szCs w:val="21"/>
                <w:highlight w:val="none"/>
              </w:rPr>
            </w:pPr>
            <w:r>
              <w:rPr>
                <w:rFonts w:hint="eastAsia" w:ascii="宋体" w:hAnsi="宋体" w:cs="宋体"/>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54" w:type="dxa"/>
            <w:vMerge w:val="continue"/>
            <w:vAlign w:val="center"/>
          </w:tcPr>
          <w:p>
            <w:pPr>
              <w:jc w:val="center"/>
              <w:rPr>
                <w:rFonts w:ascii="宋体" w:hAnsi="宋体" w:cs="宋体"/>
                <w:szCs w:val="21"/>
                <w:highlight w:val="none"/>
              </w:rPr>
            </w:pPr>
          </w:p>
        </w:tc>
        <w:tc>
          <w:tcPr>
            <w:tcW w:w="1191" w:type="dxa"/>
            <w:vMerge w:val="continue"/>
            <w:vAlign w:val="center"/>
          </w:tcPr>
          <w:p>
            <w:pPr>
              <w:jc w:val="center"/>
              <w:rPr>
                <w:rFonts w:ascii="宋体" w:hAnsi="宋体" w:cs="宋体"/>
                <w:kern w:val="0"/>
                <w:szCs w:val="21"/>
                <w:highlight w:val="none"/>
              </w:rPr>
            </w:pPr>
          </w:p>
        </w:tc>
        <w:tc>
          <w:tcPr>
            <w:tcW w:w="709" w:type="dxa"/>
            <w:vAlign w:val="center"/>
          </w:tcPr>
          <w:p>
            <w:pPr>
              <w:jc w:val="left"/>
              <w:rPr>
                <w:rFonts w:ascii="宋体" w:hAnsi="宋体" w:cs="宋体"/>
                <w:szCs w:val="21"/>
                <w:highlight w:val="none"/>
              </w:rPr>
            </w:pPr>
            <w:r>
              <w:rPr>
                <w:rFonts w:hint="eastAsia" w:ascii="宋体" w:hAnsi="宋体" w:cs="宋体"/>
                <w:szCs w:val="21"/>
                <w:highlight w:val="none"/>
              </w:rPr>
              <w:t>售后服务</w:t>
            </w:r>
          </w:p>
        </w:tc>
        <w:tc>
          <w:tcPr>
            <w:tcW w:w="5905" w:type="dxa"/>
            <w:vAlign w:val="center"/>
          </w:tcPr>
          <w:p>
            <w:pPr>
              <w:pStyle w:val="7"/>
              <w:adjustRightInd w:val="0"/>
              <w:snapToGrid w:val="0"/>
              <w:spacing w:beforeAutospacing="0" w:afterAutospacing="0"/>
              <w:rPr>
                <w:rFonts w:cs="仿宋_GB2312"/>
                <w:kern w:val="2"/>
                <w:sz w:val="21"/>
                <w:szCs w:val="21"/>
                <w:highlight w:val="none"/>
              </w:rPr>
            </w:pPr>
            <w:r>
              <w:rPr>
                <w:rFonts w:hint="eastAsia" w:cs="仿宋_GB2312"/>
                <w:kern w:val="2"/>
                <w:sz w:val="21"/>
                <w:szCs w:val="21"/>
                <w:highlight w:val="none"/>
              </w:rPr>
              <w:t>售后服务方案科学、合理；技术问题和故障处理响应机制健全，响应时间及时；提供节假日运维保障服务；培训计划完善，培训方案合理。得8分。</w:t>
            </w:r>
          </w:p>
          <w:p>
            <w:pPr>
              <w:pStyle w:val="7"/>
              <w:adjustRightInd w:val="0"/>
              <w:snapToGrid w:val="0"/>
              <w:spacing w:beforeAutospacing="0" w:afterAutospacing="0"/>
              <w:rPr>
                <w:rFonts w:cs="仿宋_GB2312"/>
                <w:kern w:val="2"/>
                <w:sz w:val="21"/>
                <w:szCs w:val="21"/>
                <w:highlight w:val="none"/>
              </w:rPr>
            </w:pPr>
            <w:r>
              <w:rPr>
                <w:rFonts w:hint="eastAsia" w:cs="仿宋_GB2312"/>
                <w:kern w:val="2"/>
                <w:sz w:val="21"/>
                <w:szCs w:val="21"/>
                <w:highlight w:val="none"/>
              </w:rPr>
              <w:t>售后服务方案较科学、合理；技术问题和故障处理响应机制较健全，响应时间较及时；培训计划较完善，培训方案较合理。得5分。</w:t>
            </w:r>
          </w:p>
          <w:p>
            <w:pPr>
              <w:pStyle w:val="7"/>
              <w:adjustRightInd w:val="0"/>
              <w:snapToGrid w:val="0"/>
              <w:spacing w:beforeAutospacing="0" w:afterAutospacing="0"/>
              <w:rPr>
                <w:rFonts w:cs="仿宋_GB2312"/>
                <w:kern w:val="2"/>
                <w:sz w:val="21"/>
                <w:szCs w:val="21"/>
                <w:highlight w:val="none"/>
              </w:rPr>
            </w:pPr>
            <w:r>
              <w:rPr>
                <w:rFonts w:hint="eastAsia" w:cs="仿宋_GB2312"/>
                <w:kern w:val="2"/>
                <w:sz w:val="21"/>
                <w:szCs w:val="21"/>
                <w:highlight w:val="none"/>
              </w:rPr>
              <w:t>有售后服务方案；有技术问题和故障处理响应机制；有培训计划，培训方案。得2分。</w:t>
            </w:r>
          </w:p>
          <w:p>
            <w:pPr>
              <w:jc w:val="left"/>
              <w:rPr>
                <w:rFonts w:ascii="宋体" w:hAnsi="宋体" w:cs="宋体"/>
                <w:szCs w:val="21"/>
                <w:highlight w:val="none"/>
              </w:rPr>
            </w:pPr>
            <w:r>
              <w:rPr>
                <w:rFonts w:hint="eastAsia" w:ascii="宋体" w:hAnsi="宋体" w:cs="仿宋_GB2312"/>
                <w:szCs w:val="21"/>
                <w:highlight w:val="none"/>
              </w:rPr>
              <w:t>其余不得分。</w:t>
            </w:r>
          </w:p>
        </w:tc>
        <w:tc>
          <w:tcPr>
            <w:tcW w:w="601" w:type="dxa"/>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54" w:type="dxa"/>
            <w:vMerge w:val="continue"/>
            <w:vAlign w:val="center"/>
          </w:tcPr>
          <w:p>
            <w:pPr>
              <w:jc w:val="center"/>
              <w:rPr>
                <w:rFonts w:ascii="宋体" w:hAnsi="宋体" w:cs="宋体"/>
                <w:szCs w:val="21"/>
                <w:highlight w:val="none"/>
              </w:rPr>
            </w:pPr>
          </w:p>
        </w:tc>
        <w:tc>
          <w:tcPr>
            <w:tcW w:w="1191" w:type="dxa"/>
            <w:vMerge w:val="continue"/>
            <w:vAlign w:val="center"/>
          </w:tcPr>
          <w:p>
            <w:pPr>
              <w:jc w:val="center"/>
              <w:rPr>
                <w:rFonts w:ascii="宋体" w:hAnsi="宋体" w:cs="宋体"/>
                <w:kern w:val="0"/>
                <w:szCs w:val="21"/>
                <w:highlight w:val="none"/>
              </w:rPr>
            </w:pPr>
          </w:p>
        </w:tc>
        <w:tc>
          <w:tcPr>
            <w:tcW w:w="709" w:type="dxa"/>
            <w:vAlign w:val="center"/>
          </w:tcPr>
          <w:p>
            <w:pPr>
              <w:jc w:val="left"/>
              <w:rPr>
                <w:rFonts w:ascii="宋体" w:hAnsi="宋体" w:cs="宋体"/>
                <w:szCs w:val="21"/>
                <w:highlight w:val="none"/>
              </w:rPr>
            </w:pPr>
            <w:r>
              <w:rPr>
                <w:rFonts w:hint="eastAsia" w:ascii="宋体" w:hAnsi="宋体" w:cs="宋体"/>
                <w:szCs w:val="21"/>
                <w:highlight w:val="none"/>
              </w:rPr>
              <w:t>项目组配</w:t>
            </w:r>
          </w:p>
        </w:tc>
        <w:tc>
          <w:tcPr>
            <w:tcW w:w="5905" w:type="dxa"/>
            <w:vAlign w:val="center"/>
          </w:tcPr>
          <w:p>
            <w:pPr>
              <w:ind w:firstLine="420" w:firstLineChars="200"/>
              <w:jc w:val="left"/>
              <w:rPr>
                <w:rFonts w:ascii="宋体" w:hAnsi="宋体"/>
                <w:szCs w:val="21"/>
                <w:highlight w:val="none"/>
              </w:rPr>
            </w:pPr>
            <w:r>
              <w:rPr>
                <w:rFonts w:hint="eastAsia" w:ascii="宋体" w:hAnsi="宋体"/>
                <w:szCs w:val="21"/>
                <w:highlight w:val="none"/>
              </w:rPr>
              <w:t>供应商需确保有本地化服务团队支持，团队总人数不少于</w:t>
            </w:r>
            <w:r>
              <w:rPr>
                <w:rFonts w:ascii="宋体" w:hAnsi="宋体"/>
                <w:szCs w:val="21"/>
                <w:highlight w:val="none"/>
              </w:rPr>
              <w:t>10</w:t>
            </w:r>
            <w:r>
              <w:rPr>
                <w:rFonts w:hint="eastAsia" w:ascii="宋体" w:hAnsi="宋体"/>
                <w:szCs w:val="21"/>
                <w:highlight w:val="none"/>
              </w:rPr>
              <w:t>人。（需</w:t>
            </w:r>
            <w:r>
              <w:rPr>
                <w:rFonts w:ascii="宋体" w:hAnsi="宋体" w:cs="仿宋_GB2312"/>
                <w:szCs w:val="21"/>
                <w:highlight w:val="none"/>
              </w:rPr>
              <w:t>提供</w:t>
            </w:r>
            <w:r>
              <w:rPr>
                <w:rFonts w:hint="eastAsia" w:ascii="宋体" w:hAnsi="宋体" w:cs="仿宋_GB2312"/>
                <w:szCs w:val="21"/>
                <w:highlight w:val="none"/>
              </w:rPr>
              <w:t>项目组人员的</w:t>
            </w:r>
            <w:r>
              <w:rPr>
                <w:rFonts w:ascii="宋体" w:hAnsi="宋体" w:cs="仿宋_GB2312"/>
                <w:szCs w:val="21"/>
                <w:highlight w:val="none"/>
              </w:rPr>
              <w:t>劳动合同或</w:t>
            </w:r>
            <w:r>
              <w:rPr>
                <w:rFonts w:hint="eastAsia" w:ascii="宋体" w:hAnsi="宋体" w:cs="仿宋_GB2312"/>
                <w:szCs w:val="21"/>
                <w:highlight w:val="none"/>
              </w:rPr>
              <w:t>近半年内任意一个月在本单位的社保缴纳证明复印件</w:t>
            </w:r>
            <w:r>
              <w:rPr>
                <w:rFonts w:ascii="宋体" w:hAnsi="宋体" w:cs="仿宋_GB2312"/>
                <w:szCs w:val="21"/>
                <w:highlight w:val="none"/>
              </w:rPr>
              <w:t>）</w:t>
            </w:r>
            <w:r>
              <w:rPr>
                <w:rFonts w:hint="eastAsia" w:ascii="宋体" w:hAnsi="宋体" w:cs="仿宋_GB2312"/>
                <w:szCs w:val="21"/>
                <w:highlight w:val="none"/>
              </w:rPr>
              <w:t>本项最高2分。</w:t>
            </w:r>
          </w:p>
          <w:p>
            <w:pPr>
              <w:ind w:firstLine="420" w:firstLineChars="200"/>
              <w:jc w:val="left"/>
              <w:rPr>
                <w:rFonts w:ascii="宋体" w:hAnsi="宋体" w:cs="仿宋_GB2312"/>
                <w:szCs w:val="21"/>
                <w:highlight w:val="none"/>
              </w:rPr>
            </w:pPr>
            <w:r>
              <w:rPr>
                <w:rFonts w:ascii="宋体" w:hAnsi="宋体" w:cs="仿宋_GB2312"/>
                <w:szCs w:val="21"/>
                <w:highlight w:val="none"/>
              </w:rPr>
              <w:t>项目团队成员</w:t>
            </w:r>
            <w:r>
              <w:rPr>
                <w:rFonts w:hint="eastAsia" w:ascii="宋体" w:hAnsi="宋体" w:cs="仿宋_GB2312"/>
                <w:szCs w:val="21"/>
                <w:highlight w:val="none"/>
              </w:rPr>
              <w:t>具有类似项目经验，其中</w:t>
            </w:r>
            <w:r>
              <w:rPr>
                <w:rFonts w:hint="eastAsia" w:ascii="宋体" w:hAnsi="宋体"/>
                <w:szCs w:val="21"/>
                <w:highlight w:val="none"/>
              </w:rPr>
              <w:t>开发团队应不少于2人，且为确保开发团队技术实力，项目负责人应具备五年以上开发经验，且应至少一项项目管理资质证书。（提供证书复印件，</w:t>
            </w:r>
            <w:r>
              <w:rPr>
                <w:rFonts w:hint="eastAsia" w:ascii="宋体" w:hAnsi="宋体" w:cs="仿宋_GB2312"/>
                <w:szCs w:val="21"/>
                <w:highlight w:val="none"/>
              </w:rPr>
              <w:t>人员的</w:t>
            </w:r>
            <w:r>
              <w:rPr>
                <w:rFonts w:ascii="宋体" w:hAnsi="宋体" w:cs="仿宋_GB2312"/>
                <w:szCs w:val="21"/>
                <w:highlight w:val="none"/>
              </w:rPr>
              <w:t>劳动合同或</w:t>
            </w:r>
            <w:r>
              <w:rPr>
                <w:rFonts w:hint="eastAsia" w:ascii="宋体" w:hAnsi="宋体" w:cs="仿宋_GB2312"/>
                <w:szCs w:val="21"/>
                <w:highlight w:val="none"/>
              </w:rPr>
              <w:t>近半年内任意一个月在本单位的社保缴纳证明复印件</w:t>
            </w:r>
            <w:r>
              <w:rPr>
                <w:rFonts w:ascii="宋体" w:hAnsi="宋体" w:cs="仿宋_GB2312"/>
                <w:szCs w:val="21"/>
                <w:highlight w:val="none"/>
              </w:rPr>
              <w:t>）</w:t>
            </w:r>
            <w:r>
              <w:rPr>
                <w:rFonts w:hint="eastAsia" w:ascii="宋体" w:hAnsi="宋体" w:cs="仿宋_GB2312"/>
                <w:szCs w:val="21"/>
                <w:highlight w:val="none"/>
              </w:rPr>
              <w:t>每提供1人得1分，本项最高2分。</w:t>
            </w:r>
          </w:p>
        </w:tc>
        <w:tc>
          <w:tcPr>
            <w:tcW w:w="601" w:type="dxa"/>
            <w:vAlign w:val="center"/>
          </w:tcPr>
          <w:p>
            <w:pPr>
              <w:jc w:val="center"/>
              <w:rPr>
                <w:rFonts w:ascii="宋体" w:hAnsi="宋体" w:cs="宋体"/>
                <w:szCs w:val="21"/>
                <w:highlight w:val="none"/>
              </w:rPr>
            </w:pPr>
            <w:r>
              <w:rPr>
                <w:rFonts w:hint="eastAsia" w:ascii="宋体" w:hAnsi="宋体" w:cs="宋体"/>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54" w:type="dxa"/>
            <w:vMerge w:val="continue"/>
            <w:vAlign w:val="center"/>
          </w:tcPr>
          <w:p>
            <w:pPr>
              <w:jc w:val="center"/>
              <w:rPr>
                <w:rFonts w:ascii="宋体" w:hAnsi="宋体" w:cs="宋体"/>
                <w:szCs w:val="21"/>
                <w:highlight w:val="none"/>
              </w:rPr>
            </w:pPr>
          </w:p>
        </w:tc>
        <w:tc>
          <w:tcPr>
            <w:tcW w:w="1191" w:type="dxa"/>
            <w:vMerge w:val="continue"/>
            <w:vAlign w:val="center"/>
          </w:tcPr>
          <w:p>
            <w:pPr>
              <w:jc w:val="center"/>
              <w:rPr>
                <w:rFonts w:ascii="宋体" w:hAnsi="宋体" w:cs="宋体"/>
                <w:kern w:val="0"/>
                <w:szCs w:val="21"/>
                <w:highlight w:val="none"/>
              </w:rPr>
            </w:pPr>
          </w:p>
        </w:tc>
        <w:tc>
          <w:tcPr>
            <w:tcW w:w="709" w:type="dxa"/>
            <w:vAlign w:val="center"/>
          </w:tcPr>
          <w:p>
            <w:pPr>
              <w:jc w:val="left"/>
              <w:rPr>
                <w:rFonts w:ascii="宋体" w:hAnsi="宋体" w:cs="宋体"/>
                <w:szCs w:val="21"/>
                <w:highlight w:val="none"/>
              </w:rPr>
            </w:pPr>
            <w:r>
              <w:rPr>
                <w:rFonts w:hint="eastAsia" w:ascii="宋体" w:hAnsi="宋体" w:cs="宋体"/>
                <w:szCs w:val="21"/>
                <w:highlight w:val="none"/>
              </w:rPr>
              <w:t>业绩证明</w:t>
            </w:r>
          </w:p>
        </w:tc>
        <w:tc>
          <w:tcPr>
            <w:tcW w:w="5905" w:type="dxa"/>
            <w:vAlign w:val="center"/>
          </w:tcPr>
          <w:p>
            <w:pPr>
              <w:jc w:val="left"/>
              <w:rPr>
                <w:rFonts w:ascii="宋体" w:hAnsi="宋体" w:cs="宋体"/>
                <w:szCs w:val="21"/>
                <w:highlight w:val="none"/>
              </w:rPr>
            </w:pPr>
            <w:r>
              <w:rPr>
                <w:rFonts w:hint="eastAsia" w:ascii="宋体" w:hAnsi="宋体" w:cs="宋体"/>
                <w:szCs w:val="21"/>
                <w:highlight w:val="none"/>
              </w:rPr>
              <w:t>供应商自开标之日起近三年以来独立完成过类似学工系统业绩（非转包），每提供一个成功案例得2分，本项最多得8分。（须提供与最终用户签订的合同复印件加盖公章，原件备查）</w:t>
            </w:r>
          </w:p>
        </w:tc>
        <w:tc>
          <w:tcPr>
            <w:tcW w:w="601" w:type="dxa"/>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960" w:type="dxa"/>
            <w:gridSpan w:val="5"/>
            <w:vAlign w:val="center"/>
          </w:tcPr>
          <w:p>
            <w:pPr>
              <w:jc w:val="left"/>
              <w:rPr>
                <w:rFonts w:ascii="宋体" w:hAnsi="宋体" w:cs="宋体"/>
                <w:szCs w:val="21"/>
                <w:highlight w:val="none"/>
              </w:rPr>
            </w:pPr>
            <w:r>
              <w:rPr>
                <w:rFonts w:hint="eastAsia" w:ascii="宋体" w:hAnsi="宋体" w:cs="宋体"/>
                <w:szCs w:val="21"/>
                <w:highlight w:val="none"/>
              </w:rPr>
              <w:t>三、技术分值（</w:t>
            </w:r>
            <w:r>
              <w:rPr>
                <w:rFonts w:hint="eastAsia" w:ascii="宋体" w:hAnsi="宋体" w:cs="宋体"/>
                <w:szCs w:val="21"/>
                <w:highlight w:val="none"/>
                <w:lang w:val="en-US" w:eastAsia="zh-CN"/>
              </w:rPr>
              <w:t>30</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54" w:type="dxa"/>
            <w:vMerge w:val="restart"/>
            <w:vAlign w:val="center"/>
          </w:tcPr>
          <w:p>
            <w:pPr>
              <w:jc w:val="center"/>
              <w:rPr>
                <w:rFonts w:ascii="宋体" w:hAnsi="宋体" w:cs="宋体"/>
                <w:szCs w:val="21"/>
                <w:highlight w:val="none"/>
              </w:rPr>
            </w:pPr>
            <w:r>
              <w:rPr>
                <w:rFonts w:hint="eastAsia" w:ascii="宋体" w:hAnsi="宋体" w:cs="宋体"/>
                <w:szCs w:val="21"/>
                <w:highlight w:val="none"/>
              </w:rPr>
              <w:t>3</w:t>
            </w:r>
          </w:p>
        </w:tc>
        <w:tc>
          <w:tcPr>
            <w:tcW w:w="1191" w:type="dxa"/>
            <w:vMerge w:val="restart"/>
            <w:vAlign w:val="center"/>
          </w:tcPr>
          <w:p>
            <w:pPr>
              <w:jc w:val="center"/>
              <w:rPr>
                <w:rFonts w:ascii="宋体" w:hAnsi="宋体" w:cs="宋体"/>
                <w:szCs w:val="21"/>
                <w:highlight w:val="none"/>
              </w:rPr>
            </w:pPr>
            <w:r>
              <w:rPr>
                <w:rFonts w:hint="eastAsia" w:ascii="宋体" w:hAnsi="宋体" w:cs="宋体"/>
                <w:szCs w:val="21"/>
                <w:highlight w:val="none"/>
              </w:rPr>
              <w:t>技术部分</w:t>
            </w:r>
          </w:p>
        </w:tc>
        <w:tc>
          <w:tcPr>
            <w:tcW w:w="709" w:type="dxa"/>
            <w:vAlign w:val="center"/>
          </w:tcPr>
          <w:p>
            <w:pPr>
              <w:jc w:val="left"/>
              <w:rPr>
                <w:rFonts w:ascii="宋体" w:hAnsi="宋体" w:cs="宋体"/>
                <w:szCs w:val="21"/>
                <w:highlight w:val="none"/>
              </w:rPr>
            </w:pPr>
            <w:r>
              <w:rPr>
                <w:rFonts w:hint="eastAsia" w:ascii="宋体" w:hAnsi="宋体" w:cs="宋体"/>
                <w:szCs w:val="21"/>
                <w:highlight w:val="none"/>
              </w:rPr>
              <w:t>技术响应</w:t>
            </w:r>
          </w:p>
        </w:tc>
        <w:tc>
          <w:tcPr>
            <w:tcW w:w="5905" w:type="dxa"/>
          </w:tcPr>
          <w:p>
            <w:pPr>
              <w:rPr>
                <w:rFonts w:ascii="宋体" w:hAnsi="宋体" w:cs="宋体"/>
                <w:szCs w:val="21"/>
                <w:highlight w:val="none"/>
              </w:rPr>
            </w:pPr>
            <w:r>
              <w:rPr>
                <w:rFonts w:hint="eastAsia" w:ascii="宋体" w:hAnsi="宋体" w:cs="宋体"/>
                <w:szCs w:val="21"/>
                <w:highlight w:val="none"/>
              </w:rPr>
              <w:t>技术性能及参数完全满足招标要求的得30分，具体由磋商小组根据供应商的响应文件中产品情况、《技术响应、偏离说明表》等有关资料打分。其中：完全满足招标技术参数要求的得30分；在此基础上，标注 “</w:t>
            </w:r>
            <w:r>
              <w:rPr>
                <w:rFonts w:hint="eastAsia" w:ascii="宋体" w:hAnsi="宋体" w:cs="仿宋_GB2312"/>
                <w:b/>
                <w:kern w:val="0"/>
                <w:sz w:val="24"/>
                <w:highlight w:val="none"/>
              </w:rPr>
              <w:t>★</w:t>
            </w:r>
            <w:r>
              <w:rPr>
                <w:rFonts w:hint="eastAsia" w:ascii="宋体" w:hAnsi="宋体" w:cs="宋体"/>
                <w:szCs w:val="21"/>
                <w:highlight w:val="none"/>
              </w:rPr>
              <w:t>”的内容为重要条款，一项不满足扣2分；未标注“</w:t>
            </w:r>
            <w:r>
              <w:rPr>
                <w:rFonts w:hint="eastAsia" w:ascii="宋体" w:hAnsi="宋体" w:cs="仿宋_GB2312"/>
                <w:b/>
                <w:kern w:val="0"/>
                <w:sz w:val="24"/>
                <w:highlight w:val="none"/>
              </w:rPr>
              <w:t>★</w:t>
            </w:r>
            <w:r>
              <w:rPr>
                <w:rFonts w:hint="eastAsia" w:ascii="宋体" w:hAnsi="宋体" w:cs="宋体"/>
                <w:szCs w:val="21"/>
                <w:highlight w:val="none"/>
              </w:rPr>
              <w:t>”的内容有一项不符合的则每项扣1分；扣完为止。</w:t>
            </w:r>
          </w:p>
          <w:p>
            <w:pPr>
              <w:jc w:val="left"/>
              <w:rPr>
                <w:rFonts w:ascii="宋体" w:hAnsi="宋体" w:cs="宋体"/>
                <w:szCs w:val="21"/>
                <w:highlight w:val="none"/>
              </w:rPr>
            </w:pPr>
            <w:r>
              <w:rPr>
                <w:rFonts w:hint="eastAsia" w:ascii="宋体" w:hAnsi="宋体" w:cs="宋体"/>
                <w:b/>
                <w:bCs/>
                <w:szCs w:val="21"/>
                <w:highlight w:val="none"/>
              </w:rPr>
              <w:t>备注：标注“</w:t>
            </w:r>
            <w:r>
              <w:rPr>
                <w:rFonts w:hint="eastAsia" w:ascii="宋体" w:hAnsi="宋体" w:cs="仿宋_GB2312"/>
                <w:b/>
                <w:kern w:val="0"/>
                <w:sz w:val="24"/>
                <w:highlight w:val="none"/>
              </w:rPr>
              <w:t>★</w:t>
            </w:r>
            <w:r>
              <w:rPr>
                <w:rFonts w:hint="eastAsia" w:ascii="宋体" w:hAnsi="宋体" w:cs="宋体"/>
                <w:b/>
                <w:bCs/>
                <w:szCs w:val="21"/>
                <w:highlight w:val="none"/>
              </w:rPr>
              <w:t>”的重要条款需要供应商根据实际应标情况逐条响应，并按要求提供软件截图等其他有效证明材料。未按照要求提供证明材料，完全复制粘贴磋商文件技术要求的将可能按负偏离处理。证明材料需提供加盖公章的真彩扫描件。</w:t>
            </w:r>
          </w:p>
        </w:tc>
        <w:tc>
          <w:tcPr>
            <w:tcW w:w="601" w:type="dxa"/>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54" w:type="dxa"/>
            <w:vMerge w:val="continue"/>
            <w:vAlign w:val="center"/>
          </w:tcPr>
          <w:p>
            <w:pPr>
              <w:jc w:val="center"/>
              <w:rPr>
                <w:rFonts w:ascii="宋体" w:hAnsi="宋体" w:cs="宋体"/>
                <w:szCs w:val="21"/>
                <w:highlight w:val="none"/>
              </w:rPr>
            </w:pPr>
          </w:p>
        </w:tc>
        <w:tc>
          <w:tcPr>
            <w:tcW w:w="1191" w:type="dxa"/>
            <w:vMerge w:val="continue"/>
            <w:vAlign w:val="center"/>
          </w:tcPr>
          <w:p>
            <w:pPr>
              <w:jc w:val="center"/>
              <w:rPr>
                <w:rFonts w:ascii="宋体" w:hAnsi="宋体" w:cs="宋体"/>
                <w:szCs w:val="21"/>
                <w:highlight w:val="none"/>
              </w:rPr>
            </w:pPr>
          </w:p>
        </w:tc>
        <w:tc>
          <w:tcPr>
            <w:tcW w:w="709" w:type="dxa"/>
            <w:vAlign w:val="center"/>
          </w:tcPr>
          <w:p>
            <w:pPr>
              <w:jc w:val="left"/>
              <w:rPr>
                <w:rFonts w:ascii="宋体" w:hAnsi="宋体" w:cs="宋体"/>
                <w:bCs/>
                <w:szCs w:val="21"/>
                <w:highlight w:val="none"/>
              </w:rPr>
            </w:pPr>
            <w:r>
              <w:rPr>
                <w:rFonts w:hint="eastAsia" w:ascii="宋体" w:hAnsi="宋体" w:cs="宋体"/>
                <w:bCs/>
                <w:szCs w:val="21"/>
                <w:highlight w:val="none"/>
              </w:rPr>
              <w:t>现场演示</w:t>
            </w:r>
          </w:p>
        </w:tc>
        <w:tc>
          <w:tcPr>
            <w:tcW w:w="5905" w:type="dxa"/>
          </w:tcPr>
          <w:p>
            <w:pPr>
              <w:jc w:val="left"/>
              <w:rPr>
                <w:rFonts w:ascii="宋体" w:hAnsi="宋体" w:cs="宋体"/>
                <w:b/>
                <w:bCs/>
                <w:szCs w:val="21"/>
                <w:highlight w:val="none"/>
              </w:rPr>
            </w:pPr>
            <w:r>
              <w:rPr>
                <w:rFonts w:hint="eastAsia" w:ascii="宋体" w:hAnsi="宋体" w:cs="宋体"/>
                <w:b/>
                <w:bCs/>
                <w:szCs w:val="21"/>
                <w:highlight w:val="none"/>
              </w:rPr>
              <w:t>演示（供应商须在现场使用所投型号真实产品进行演示，原型或PPT、视频等演示不得分；演示时间：不得超过</w:t>
            </w:r>
            <w:r>
              <w:rPr>
                <w:rFonts w:ascii="宋体" w:hAnsi="宋体" w:cs="宋体"/>
                <w:b/>
                <w:bCs/>
                <w:szCs w:val="21"/>
                <w:highlight w:val="none"/>
              </w:rPr>
              <w:t>20</w:t>
            </w:r>
            <w:r>
              <w:rPr>
                <w:rFonts w:hint="eastAsia" w:ascii="宋体" w:hAnsi="宋体" w:cs="宋体"/>
                <w:b/>
                <w:bCs/>
                <w:szCs w:val="21"/>
                <w:highlight w:val="none"/>
              </w:rPr>
              <w:t>分钟，超时不得分；演示设备：供应商需自带演示设备。</w:t>
            </w:r>
          </w:p>
          <w:p>
            <w:pPr>
              <w:jc w:val="left"/>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lang w:eastAsia="zh-Hans"/>
              </w:rPr>
              <w:t>.学工</w:t>
            </w:r>
            <w:r>
              <w:rPr>
                <w:rFonts w:hint="eastAsia" w:ascii="宋体" w:hAnsi="宋体" w:cs="宋体"/>
                <w:szCs w:val="21"/>
                <w:highlight w:val="none"/>
              </w:rPr>
              <w:t>个人空间配置：支持按照不同角色配置个人空间页面和全部应用页，支持快速切换模板；支持组件化搭建个人空间页面；支持拖拽式进行页面搭建和应用上下线、排序等。（</w:t>
            </w:r>
            <w:r>
              <w:rPr>
                <w:rFonts w:ascii="宋体" w:hAnsi="宋体" w:cs="宋体"/>
                <w:kern w:val="0"/>
                <w:szCs w:val="21"/>
                <w:highlight w:val="none"/>
                <w:lang w:bidi="ar"/>
              </w:rPr>
              <w:t>演示成功得2分，否则不得分</w:t>
            </w:r>
            <w:r>
              <w:rPr>
                <w:rFonts w:hint="eastAsia" w:ascii="宋体" w:hAnsi="宋体" w:cs="宋体"/>
                <w:szCs w:val="21"/>
                <w:highlight w:val="none"/>
              </w:rPr>
              <w:t>）</w:t>
            </w:r>
          </w:p>
          <w:p>
            <w:pPr>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eastAsia="zh-Hans"/>
              </w:rPr>
              <w:t>新生信息采集配置</w:t>
            </w:r>
            <w:r>
              <w:rPr>
                <w:rFonts w:ascii="宋体" w:hAnsi="宋体" w:cs="宋体"/>
                <w:szCs w:val="21"/>
                <w:highlight w:val="none"/>
                <w:lang w:eastAsia="zh-Hans"/>
              </w:rPr>
              <w:t>：</w:t>
            </w:r>
            <w:r>
              <w:rPr>
                <w:rFonts w:hint="eastAsia" w:ascii="宋体" w:hAnsi="宋体" w:cs="宋体"/>
                <w:szCs w:val="21"/>
                <w:highlight w:val="none"/>
              </w:rPr>
              <w:t>要支持创建者通过拖拽不同组件创建自己想要的表单样式，组件包括单选、多选、下拉框、下拉复选框、单行输入、多行输入、数字输入、日期选择、子表单、图片、附件、富文本编辑器、定位、说明文字等组件，可支持不登录填报表单，后台可根据不同管理员权限设置显示菜单和数据。（</w:t>
            </w:r>
            <w:r>
              <w:rPr>
                <w:rFonts w:ascii="宋体" w:hAnsi="宋体" w:cs="宋体"/>
                <w:kern w:val="0"/>
                <w:szCs w:val="21"/>
                <w:highlight w:val="none"/>
                <w:lang w:bidi="ar"/>
              </w:rPr>
              <w:t>演示成功得2分，否则不得分</w:t>
            </w:r>
            <w:r>
              <w:rPr>
                <w:rFonts w:hint="eastAsia" w:ascii="宋体" w:hAnsi="宋体" w:cs="宋体"/>
                <w:szCs w:val="21"/>
                <w:highlight w:val="none"/>
              </w:rPr>
              <w:t>）</w:t>
            </w:r>
          </w:p>
          <w:p>
            <w:pPr>
              <w:jc w:val="left"/>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lang w:eastAsia="zh-Hans"/>
              </w:rPr>
              <w:t>.心理咨询预约配置</w:t>
            </w:r>
            <w:r>
              <w:rPr>
                <w:rFonts w:ascii="宋体" w:hAnsi="宋体" w:cs="宋体"/>
                <w:szCs w:val="21"/>
                <w:highlight w:val="none"/>
                <w:lang w:eastAsia="zh-Hans"/>
              </w:rPr>
              <w:t>：</w:t>
            </w:r>
            <w:r>
              <w:rPr>
                <w:rFonts w:hint="eastAsia" w:ascii="宋体" w:hAnsi="宋体" w:cs="宋体"/>
                <w:szCs w:val="21"/>
                <w:highlight w:val="none"/>
              </w:rPr>
              <w:t>要能支持批量设定多个预约对象的每周、每日的开放时间，也能针对单一对象进行特殊化设置。预约要能设置签到、签退规则，要支持扫码签到、 位置签到等方式，签到签退要能支持设定弹性时间，如提前或延迟10分钟。管理员要能查看所有的预约记录、违约记录，可在后台取消预约记录和消除违约记录。（</w:t>
            </w:r>
            <w:r>
              <w:rPr>
                <w:rFonts w:ascii="宋体" w:hAnsi="宋体" w:cs="宋体"/>
                <w:kern w:val="0"/>
                <w:szCs w:val="21"/>
                <w:highlight w:val="none"/>
                <w:lang w:bidi="ar"/>
              </w:rPr>
              <w:t>演示成功</w:t>
            </w:r>
            <w:r>
              <w:rPr>
                <w:rFonts w:hint="eastAsia" w:ascii="宋体" w:hAnsi="宋体" w:cs="宋体"/>
                <w:kern w:val="0"/>
                <w:szCs w:val="21"/>
                <w:highlight w:val="none"/>
                <w:lang w:bidi="ar"/>
              </w:rPr>
              <w:t>得2</w:t>
            </w:r>
            <w:r>
              <w:rPr>
                <w:rFonts w:ascii="宋体" w:hAnsi="宋体" w:cs="宋体"/>
                <w:kern w:val="0"/>
                <w:szCs w:val="21"/>
                <w:highlight w:val="none"/>
                <w:lang w:bidi="ar"/>
              </w:rPr>
              <w:t>分，否则不得分</w:t>
            </w:r>
            <w:r>
              <w:rPr>
                <w:rFonts w:hint="eastAsia" w:ascii="宋体" w:hAnsi="宋体" w:cs="宋体"/>
                <w:szCs w:val="21"/>
                <w:highlight w:val="none"/>
              </w:rPr>
              <w:t>）</w:t>
            </w:r>
          </w:p>
          <w:p>
            <w:pPr>
              <w:jc w:val="left"/>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lang w:eastAsia="zh-Hans"/>
              </w:rPr>
              <w:t>.学生请销假配置</w:t>
            </w:r>
            <w:r>
              <w:rPr>
                <w:rFonts w:ascii="宋体" w:hAnsi="宋体" w:cs="宋体"/>
                <w:szCs w:val="21"/>
                <w:highlight w:val="none"/>
                <w:lang w:eastAsia="zh-Hans"/>
              </w:rPr>
              <w:t>：</w:t>
            </w:r>
            <w:r>
              <w:rPr>
                <w:rFonts w:hint="eastAsia" w:ascii="宋体" w:hAnsi="宋体" w:cs="宋体"/>
                <w:szCs w:val="21"/>
                <w:highlight w:val="none"/>
                <w:lang w:eastAsia="zh-Hans"/>
              </w:rPr>
              <w:t>要具有根据学校实际情况配置请销假流程的功能</w:t>
            </w:r>
            <w:r>
              <w:rPr>
                <w:rFonts w:ascii="宋体" w:hAnsi="宋体" w:cs="宋体"/>
                <w:szCs w:val="21"/>
                <w:highlight w:val="none"/>
                <w:lang w:eastAsia="zh-Hans"/>
              </w:rPr>
              <w:t>，</w:t>
            </w:r>
            <w:r>
              <w:rPr>
                <w:rFonts w:hint="eastAsia" w:ascii="宋体" w:hAnsi="宋体" w:cs="宋体"/>
                <w:szCs w:val="21"/>
                <w:highlight w:val="none"/>
                <w:lang w:eastAsia="zh-Hans"/>
              </w:rPr>
              <w:t>支持按照角色</w:t>
            </w:r>
            <w:r>
              <w:rPr>
                <w:rFonts w:ascii="宋体" w:hAnsi="宋体" w:cs="宋体"/>
                <w:szCs w:val="21"/>
                <w:highlight w:val="none"/>
                <w:lang w:eastAsia="zh-Hans"/>
              </w:rPr>
              <w:t>、</w:t>
            </w:r>
            <w:r>
              <w:rPr>
                <w:rFonts w:hint="eastAsia" w:ascii="宋体" w:hAnsi="宋体" w:cs="宋体"/>
                <w:szCs w:val="21"/>
                <w:highlight w:val="none"/>
                <w:lang w:eastAsia="zh-Hans"/>
              </w:rPr>
              <w:t>部门主管</w:t>
            </w:r>
            <w:r>
              <w:rPr>
                <w:rFonts w:ascii="宋体" w:hAnsi="宋体" w:cs="宋体"/>
                <w:szCs w:val="21"/>
                <w:highlight w:val="none"/>
              </w:rPr>
              <w:t>、</w:t>
            </w:r>
            <w:r>
              <w:rPr>
                <w:rFonts w:hint="eastAsia" w:ascii="宋体" w:hAnsi="宋体" w:cs="宋体"/>
                <w:szCs w:val="21"/>
                <w:highlight w:val="none"/>
              </w:rPr>
              <w:t>指定人员等多级审批和条件审批</w:t>
            </w:r>
            <w:r>
              <w:rPr>
                <w:rFonts w:ascii="宋体" w:hAnsi="宋体" w:cs="宋体"/>
                <w:szCs w:val="21"/>
                <w:highlight w:val="none"/>
              </w:rPr>
              <w:t>；</w:t>
            </w:r>
            <w:r>
              <w:rPr>
                <w:rFonts w:hint="eastAsia" w:ascii="宋体" w:hAnsi="宋体"/>
                <w:szCs w:val="21"/>
                <w:highlight w:val="none"/>
              </w:rPr>
              <w:t>支持根据不同的请假类型及天数设定不同的流程，要求支持定位、城市选择、附件上传等，支持设定后台页面包括字段排序、操作按钮，数据权限等，支持条件设置、手写签名等。支持根据学校实际需求可视化配置请假申请字段，支持配置请假页面样式。</w:t>
            </w:r>
            <w:r>
              <w:rPr>
                <w:rFonts w:hint="eastAsia" w:ascii="宋体" w:hAnsi="宋体" w:cs="宋体"/>
                <w:szCs w:val="21"/>
                <w:highlight w:val="none"/>
              </w:rPr>
              <w:t>（</w:t>
            </w:r>
            <w:r>
              <w:rPr>
                <w:rFonts w:ascii="宋体" w:hAnsi="宋体" w:cs="宋体"/>
                <w:szCs w:val="21"/>
                <w:highlight w:val="none"/>
              </w:rPr>
              <w:t>演示成功得2分，否则不得分</w:t>
            </w:r>
            <w:r>
              <w:rPr>
                <w:rFonts w:hint="eastAsia" w:ascii="宋体" w:hAnsi="宋体" w:cs="宋体"/>
                <w:szCs w:val="21"/>
                <w:highlight w:val="none"/>
              </w:rPr>
              <w:t>）</w:t>
            </w:r>
          </w:p>
          <w:p>
            <w:pPr>
              <w:jc w:val="left"/>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.信息资讯采集配置</w:t>
            </w:r>
            <w:r>
              <w:rPr>
                <w:rFonts w:ascii="宋体" w:hAnsi="宋体" w:cs="宋体"/>
                <w:szCs w:val="21"/>
                <w:highlight w:val="none"/>
              </w:rPr>
              <w:t>：</w:t>
            </w:r>
            <w:r>
              <w:rPr>
                <w:rFonts w:hint="eastAsia" w:ascii="宋体" w:hAnsi="宋体" w:cs="宋体"/>
                <w:szCs w:val="21"/>
                <w:highlight w:val="none"/>
              </w:rPr>
              <w:t>要具有可视化操作页面，无需代码编写，采用点选方式完成页面的抓取配置。如题名、发布时间、正文等，可根据不同模板设置移动端页面展示样式。（</w:t>
            </w:r>
            <w:r>
              <w:rPr>
                <w:rFonts w:ascii="宋体" w:hAnsi="宋体" w:cs="宋体"/>
                <w:szCs w:val="21"/>
                <w:highlight w:val="none"/>
              </w:rPr>
              <w:t>演示成功得2分，否则不得分</w:t>
            </w:r>
            <w:r>
              <w:rPr>
                <w:rFonts w:hint="eastAsia" w:ascii="宋体" w:hAnsi="宋体" w:cs="宋体"/>
                <w:szCs w:val="21"/>
                <w:highlight w:val="none"/>
              </w:rPr>
              <w:t>）</w:t>
            </w:r>
          </w:p>
          <w:p>
            <w:pPr>
              <w:jc w:val="left"/>
              <w:rPr>
                <w:rFonts w:ascii="宋体" w:hAnsi="宋体" w:cs="宋体"/>
                <w:szCs w:val="21"/>
                <w:highlight w:val="none"/>
              </w:rPr>
            </w:pPr>
            <w:r>
              <w:rPr>
                <w:rFonts w:ascii="宋体" w:hAnsi="宋体" w:cs="宋体"/>
                <w:szCs w:val="21"/>
                <w:highlight w:val="none"/>
              </w:rPr>
              <w:t>6</w:t>
            </w:r>
            <w:r>
              <w:rPr>
                <w:rFonts w:hint="eastAsia" w:ascii="宋体" w:hAnsi="宋体" w:cs="宋体"/>
                <w:szCs w:val="21"/>
                <w:highlight w:val="none"/>
              </w:rPr>
              <w:t>.可支持搭建专属迎新门户，实现迎新事项的动态发布和通知。</w:t>
            </w:r>
            <w:r>
              <w:rPr>
                <w:rFonts w:hint="eastAsia" w:ascii="宋体" w:hAnsi="宋体" w:cs="仿宋_GB2312"/>
                <w:kern w:val="0"/>
                <w:szCs w:val="21"/>
                <w:highlight w:val="none"/>
              </w:rPr>
              <w:t>门户展现内容可由学校自主在线可视化“拖拉拽”设计，可以快速开通门户，输入门户基本信息即可定制域名，要求平台内预置多套精美模板，学校根据实际需求选择模板，快速进行个性化配置，支持多种尺寸版型，同时自适应手机端，内置多种功能控件，可通过提供的控件进行拖拽式自定义布局，如：学校概况、迎新公告、新生导航、常见问题等。支持PC端、移动端两套迎新门户独立设计。后台支持自助管理和维护，一键发布立即生效</w:t>
            </w:r>
            <w:r>
              <w:rPr>
                <w:rFonts w:hint="eastAsia" w:ascii="宋体" w:hAnsi="宋体" w:cs="宋体"/>
                <w:szCs w:val="21"/>
                <w:highlight w:val="none"/>
              </w:rPr>
              <w:t>。（</w:t>
            </w:r>
            <w:r>
              <w:rPr>
                <w:rFonts w:ascii="宋体" w:hAnsi="宋体" w:cs="宋体"/>
                <w:szCs w:val="21"/>
                <w:highlight w:val="none"/>
              </w:rPr>
              <w:t>演示成功得3分，否则不得分</w:t>
            </w:r>
            <w:r>
              <w:rPr>
                <w:rFonts w:hint="eastAsia" w:ascii="宋体" w:hAnsi="宋体" w:cs="宋体"/>
                <w:szCs w:val="21"/>
                <w:highlight w:val="none"/>
              </w:rPr>
              <w:t>）</w:t>
            </w:r>
            <w:r>
              <w:rPr>
                <w:rFonts w:ascii="宋体" w:hAnsi="宋体" w:cs="宋体"/>
                <w:szCs w:val="21"/>
                <w:highlight w:val="none"/>
              </w:rPr>
              <w:t xml:space="preserve"> </w:t>
            </w:r>
          </w:p>
          <w:p>
            <w:pPr>
              <w:pStyle w:val="2"/>
              <w:rPr>
                <w:rFonts w:ascii="宋体" w:hAnsi="宋体" w:cs="仿宋_GB2312"/>
                <w:highlight w:val="none"/>
              </w:rPr>
            </w:pPr>
            <w:r>
              <w:rPr>
                <w:rFonts w:ascii="宋体" w:hAnsi="宋体" w:cs="仿宋_GB2312"/>
                <w:highlight w:val="none"/>
              </w:rPr>
              <w:t>7</w:t>
            </w:r>
            <w:r>
              <w:rPr>
                <w:rFonts w:hint="eastAsia" w:ascii="宋体" w:hAnsi="宋体" w:cs="仿宋_GB2312"/>
                <w:highlight w:val="none"/>
              </w:rPr>
              <w:t>、移动端需支持移动教学，实现学生的教管一体化：平台支持教师进行移动教学通知发放，在移动课堂中进行问卷发布，在移动端和学生进行实时的问答互动，在移动课堂中快速发起签到，支持教师发布随机选人进行问题回答，支持教师在课堂上发布问题进行抢答，支持学生对课堂效果进行评分，支持用户通过知识分享传播渠道小组、笔记等渠道转发专题或话题，实现知识的流转等。（</w:t>
            </w:r>
            <w:r>
              <w:rPr>
                <w:rFonts w:ascii="宋体" w:hAnsi="宋体" w:cs="仿宋_GB2312"/>
                <w:highlight w:val="none"/>
              </w:rPr>
              <w:t>演示成功得2分，否则不得分</w:t>
            </w:r>
            <w:r>
              <w:rPr>
                <w:rFonts w:hint="eastAsia" w:ascii="宋体" w:hAnsi="宋体" w:cs="仿宋_GB2312"/>
                <w:highlight w:val="none"/>
              </w:rPr>
              <w:t>）</w:t>
            </w:r>
          </w:p>
        </w:tc>
        <w:tc>
          <w:tcPr>
            <w:tcW w:w="601" w:type="dxa"/>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54" w:type="dxa"/>
            <w:vAlign w:val="center"/>
          </w:tcPr>
          <w:p>
            <w:pPr>
              <w:jc w:val="center"/>
              <w:rPr>
                <w:rFonts w:ascii="宋体" w:hAnsi="宋体" w:cs="宋体"/>
                <w:szCs w:val="21"/>
                <w:highlight w:val="none"/>
              </w:rPr>
            </w:pPr>
            <w:r>
              <w:rPr>
                <w:rFonts w:hint="eastAsia" w:ascii="宋体" w:hAnsi="宋体" w:cs="宋体"/>
                <w:szCs w:val="21"/>
                <w:highlight w:val="none"/>
              </w:rPr>
              <w:t>总分</w:t>
            </w:r>
          </w:p>
        </w:tc>
        <w:tc>
          <w:tcPr>
            <w:tcW w:w="8406" w:type="dxa"/>
            <w:gridSpan w:val="4"/>
            <w:vAlign w:val="center"/>
          </w:tcPr>
          <w:p>
            <w:pPr>
              <w:jc w:val="center"/>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00</w:t>
            </w:r>
          </w:p>
        </w:tc>
      </w:tr>
    </w:tbl>
    <w:p>
      <w:pPr>
        <w:pStyle w:val="12"/>
        <w:spacing w:line="360" w:lineRule="auto"/>
        <w:ind w:firstLine="0" w:firstLineChars="0"/>
        <w:rPr>
          <w:rFonts w:ascii="宋体" w:hAnsi="宋体"/>
          <w:sz w:val="24"/>
          <w:highlight w:val="none"/>
        </w:rPr>
      </w:pPr>
    </w:p>
    <w:p>
      <w:pPr>
        <w:pStyle w:val="12"/>
        <w:spacing w:line="360" w:lineRule="auto"/>
        <w:ind w:firstLine="0" w:firstLineChars="0"/>
        <w:rPr>
          <w:rFonts w:ascii="宋体" w:hAnsi="宋体"/>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Trebuchet MS">
    <w:panose1 w:val="020B0603020202020204"/>
    <w:charset w:val="00"/>
    <w:family w:val="swiss"/>
    <w:pitch w:val="default"/>
    <w:sig w:usb0="000002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903A0"/>
    <w:multiLevelType w:val="multilevel"/>
    <w:tmpl w:val="098903A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B892B1E"/>
    <w:multiLevelType w:val="multilevel"/>
    <w:tmpl w:val="0B892B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D286ED0"/>
    <w:multiLevelType w:val="multilevel"/>
    <w:tmpl w:val="0D286E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0FD6914"/>
    <w:multiLevelType w:val="multilevel"/>
    <w:tmpl w:val="10FD69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37E5BC4"/>
    <w:multiLevelType w:val="multilevel"/>
    <w:tmpl w:val="237E5BC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2C69B3"/>
    <w:multiLevelType w:val="multilevel"/>
    <w:tmpl w:val="2B2C69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EDF6793"/>
    <w:multiLevelType w:val="multilevel"/>
    <w:tmpl w:val="2EDF67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3307086"/>
    <w:multiLevelType w:val="multilevel"/>
    <w:tmpl w:val="3330708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33D07E58"/>
    <w:multiLevelType w:val="singleLevel"/>
    <w:tmpl w:val="33D07E58"/>
    <w:lvl w:ilvl="0" w:tentative="0">
      <w:start w:val="1"/>
      <w:numFmt w:val="decimal"/>
      <w:suff w:val="nothing"/>
      <w:lvlText w:val="%1、"/>
      <w:lvlJc w:val="left"/>
    </w:lvl>
  </w:abstractNum>
  <w:abstractNum w:abstractNumId="9">
    <w:nsid w:val="3CCC231B"/>
    <w:multiLevelType w:val="multilevel"/>
    <w:tmpl w:val="3CCC231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0123BFC"/>
    <w:multiLevelType w:val="multilevel"/>
    <w:tmpl w:val="40123BF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09C6384"/>
    <w:multiLevelType w:val="multilevel"/>
    <w:tmpl w:val="409C63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345777F"/>
    <w:multiLevelType w:val="multilevel"/>
    <w:tmpl w:val="434577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61557FA"/>
    <w:multiLevelType w:val="multilevel"/>
    <w:tmpl w:val="461557F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B7D2C43"/>
    <w:multiLevelType w:val="multilevel"/>
    <w:tmpl w:val="4B7D2C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DA6C76B"/>
    <w:multiLevelType w:val="singleLevel"/>
    <w:tmpl w:val="4DA6C76B"/>
    <w:lvl w:ilvl="0" w:tentative="0">
      <w:start w:val="1"/>
      <w:numFmt w:val="decimal"/>
      <w:lvlText w:val="%1."/>
      <w:lvlJc w:val="left"/>
      <w:pPr>
        <w:ind w:left="425" w:hanging="425"/>
      </w:pPr>
      <w:rPr>
        <w:rFonts w:hint="default"/>
      </w:rPr>
    </w:lvl>
  </w:abstractNum>
  <w:abstractNum w:abstractNumId="16">
    <w:nsid w:val="4E4333A4"/>
    <w:multiLevelType w:val="singleLevel"/>
    <w:tmpl w:val="4E4333A4"/>
    <w:lvl w:ilvl="0" w:tentative="0">
      <w:start w:val="1"/>
      <w:numFmt w:val="decimal"/>
      <w:suff w:val="nothing"/>
      <w:lvlText w:val="%1、"/>
      <w:lvlJc w:val="left"/>
    </w:lvl>
  </w:abstractNum>
  <w:abstractNum w:abstractNumId="17">
    <w:nsid w:val="4FF35772"/>
    <w:multiLevelType w:val="multilevel"/>
    <w:tmpl w:val="4FF357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571A58C0"/>
    <w:multiLevelType w:val="multilevel"/>
    <w:tmpl w:val="571A58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58451609"/>
    <w:multiLevelType w:val="multilevel"/>
    <w:tmpl w:val="5845160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0">
    <w:nsid w:val="60942482"/>
    <w:multiLevelType w:val="multilevel"/>
    <w:tmpl w:val="60942482"/>
    <w:lvl w:ilvl="0" w:tentative="0">
      <w:start w:val="4"/>
      <w:numFmt w:val="decimal"/>
      <w:pStyle w:val="3"/>
      <w:lvlText w:val="%1"/>
      <w:lvlJc w:val="left"/>
      <w:pPr>
        <w:tabs>
          <w:tab w:val="left" w:pos="420"/>
        </w:tabs>
        <w:ind w:left="170" w:hanging="170"/>
      </w:pPr>
      <w:rPr>
        <w:rFonts w:hint="default" w:ascii="宋体" w:hAnsi="宋体" w:eastAsia="宋体" w:cs="宋体"/>
      </w:rPr>
    </w:lvl>
    <w:lvl w:ilvl="1" w:tentative="0">
      <w:start w:val="1"/>
      <w:numFmt w:val="decimal"/>
      <w:lvlText w:val="2.%2"/>
      <w:lvlJc w:val="left"/>
      <w:pPr>
        <w:tabs>
          <w:tab w:val="left" w:pos="987"/>
        </w:tabs>
        <w:ind w:left="851" w:hanging="284"/>
      </w:pPr>
      <w:rPr>
        <w:rFonts w:hint="eastAsia"/>
      </w:rPr>
    </w:lvl>
    <w:lvl w:ilvl="2" w:tentative="0">
      <w:start w:val="1"/>
      <w:numFmt w:val="decimal"/>
      <w:lvlText w:val="%1.%2.%3"/>
      <w:lvlJc w:val="left"/>
      <w:pPr>
        <w:ind w:left="-113" w:firstLine="113"/>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1">
    <w:nsid w:val="68C401C0"/>
    <w:multiLevelType w:val="multilevel"/>
    <w:tmpl w:val="68C401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692C0D5F"/>
    <w:multiLevelType w:val="multilevel"/>
    <w:tmpl w:val="692C0D5F"/>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3">
    <w:nsid w:val="6F527518"/>
    <w:multiLevelType w:val="multilevel"/>
    <w:tmpl w:val="6F5275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9353B95"/>
    <w:multiLevelType w:val="multilevel"/>
    <w:tmpl w:val="79353B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796B4EE6"/>
    <w:multiLevelType w:val="singleLevel"/>
    <w:tmpl w:val="796B4EE6"/>
    <w:lvl w:ilvl="0" w:tentative="0">
      <w:start w:val="1"/>
      <w:numFmt w:val="decimal"/>
      <w:suff w:val="nothing"/>
      <w:lvlText w:val="%1、"/>
      <w:lvlJc w:val="left"/>
    </w:lvl>
  </w:abstractNum>
  <w:abstractNum w:abstractNumId="26">
    <w:nsid w:val="7D3E063F"/>
    <w:multiLevelType w:val="singleLevel"/>
    <w:tmpl w:val="7D3E063F"/>
    <w:lvl w:ilvl="0" w:tentative="0">
      <w:start w:val="1"/>
      <w:numFmt w:val="decimal"/>
      <w:suff w:val="nothing"/>
      <w:lvlText w:val="%1、"/>
      <w:lvlJc w:val="left"/>
    </w:lvl>
  </w:abstractNum>
  <w:num w:numId="1">
    <w:abstractNumId w:val="20"/>
  </w:num>
  <w:num w:numId="2">
    <w:abstractNumId w:val="19"/>
  </w:num>
  <w:num w:numId="3">
    <w:abstractNumId w:val="4"/>
  </w:num>
  <w:num w:numId="4">
    <w:abstractNumId w:val="14"/>
  </w:num>
  <w:num w:numId="5">
    <w:abstractNumId w:val="15"/>
  </w:num>
  <w:num w:numId="6">
    <w:abstractNumId w:val="25"/>
  </w:num>
  <w:num w:numId="7">
    <w:abstractNumId w:val="26"/>
  </w:num>
  <w:num w:numId="8">
    <w:abstractNumId w:val="16"/>
  </w:num>
  <w:num w:numId="9">
    <w:abstractNumId w:val="1"/>
  </w:num>
  <w:num w:numId="10">
    <w:abstractNumId w:val="21"/>
  </w:num>
  <w:num w:numId="11">
    <w:abstractNumId w:val="12"/>
  </w:num>
  <w:num w:numId="12">
    <w:abstractNumId w:val="2"/>
  </w:num>
  <w:num w:numId="13">
    <w:abstractNumId w:val="10"/>
  </w:num>
  <w:num w:numId="14">
    <w:abstractNumId w:val="6"/>
  </w:num>
  <w:num w:numId="15">
    <w:abstractNumId w:val="5"/>
  </w:num>
  <w:num w:numId="16">
    <w:abstractNumId w:val="17"/>
  </w:num>
  <w:num w:numId="17">
    <w:abstractNumId w:val="0"/>
  </w:num>
  <w:num w:numId="18">
    <w:abstractNumId w:val="24"/>
  </w:num>
  <w:num w:numId="19">
    <w:abstractNumId w:val="18"/>
  </w:num>
  <w:num w:numId="20">
    <w:abstractNumId w:val="3"/>
  </w:num>
  <w:num w:numId="21">
    <w:abstractNumId w:val="11"/>
  </w:num>
  <w:num w:numId="22">
    <w:abstractNumId w:val="13"/>
  </w:num>
  <w:num w:numId="23">
    <w:abstractNumId w:val="9"/>
  </w:num>
  <w:num w:numId="24">
    <w:abstractNumId w:val="8"/>
  </w:num>
  <w:num w:numId="25">
    <w:abstractNumId w:val="22"/>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2I3NmYxOGY3ZTNkMzA1YmRhMjgzNDNhZmJlZDAifQ=="/>
  </w:docVars>
  <w:rsids>
    <w:rsidRoot w:val="00000000"/>
    <w:rsid w:val="0B2B38EB"/>
    <w:rsid w:val="12113EF1"/>
    <w:rsid w:val="16E51D24"/>
    <w:rsid w:val="192C69E9"/>
    <w:rsid w:val="33C44623"/>
    <w:rsid w:val="3C7E0F92"/>
    <w:rsid w:val="4C0D2B39"/>
    <w:rsid w:val="4E1224E1"/>
    <w:rsid w:val="688015C5"/>
    <w:rsid w:val="79E13B5F"/>
    <w:rsid w:val="7CF53A2E"/>
    <w:rsid w:val="7F9F1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rFonts w:ascii="Calibri" w:hAnsi="Calibri"/>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jc w:val="center"/>
    </w:pPr>
    <w:rPr>
      <w:rFonts w:ascii="华文行楷" w:hAnsi="华文行楷"/>
      <w:szCs w:val="7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paragraph" w:styleId="8">
    <w:name w:val="Title"/>
    <w:basedOn w:val="1"/>
    <w:next w:val="1"/>
    <w:qFormat/>
    <w:uiPriority w:val="99"/>
    <w:pPr>
      <w:spacing w:line="360" w:lineRule="auto"/>
      <w:jc w:val="center"/>
    </w:pPr>
    <w:rPr>
      <w:rFonts w:ascii="宋体" w:hAnsi="Trebuchet MS"/>
      <w:b/>
      <w:kern w:val="0"/>
      <w:sz w:val="36"/>
      <w:szCs w:val="20"/>
    </w:rPr>
  </w:style>
  <w:style w:type="paragraph" w:customStyle="1" w:styleId="11">
    <w:name w:val="标准文本"/>
    <w:basedOn w:val="1"/>
    <w:qFormat/>
    <w:uiPriority w:val="0"/>
    <w:pPr>
      <w:spacing w:line="360" w:lineRule="auto"/>
      <w:ind w:firstLine="480" w:firstLineChars="200"/>
    </w:pPr>
    <w:rPr>
      <w:rFonts w:cs="宋体"/>
      <w:sz w:val="24"/>
      <w:szCs w:val="20"/>
    </w:rPr>
  </w:style>
  <w:style w:type="paragraph" w:styleId="12">
    <w:name w:val="List Paragraph"/>
    <w:basedOn w:val="1"/>
    <w:qFormat/>
    <w:uiPriority w:val="99"/>
    <w:pPr>
      <w:ind w:firstLine="420" w:firstLineChars="200"/>
    </w:pPr>
  </w:style>
  <w:style w:type="paragraph" w:customStyle="1" w:styleId="13">
    <w:name w:val="列出段落1"/>
    <w:basedOn w:val="1"/>
    <w:qFormat/>
    <w:uiPriority w:val="99"/>
    <w:pPr>
      <w:ind w:firstLine="420" w:firstLineChars="200"/>
    </w:pPr>
    <w:rPr>
      <w:rFonts w:ascii="Calibri" w:hAnsi="Calibri"/>
      <w:szCs w:val="22"/>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numbering.xml" Type="http://schemas.openxmlformats.org/officeDocument/2006/relationships/numbering"/><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19051</Words>
  <Characters>19150</Characters>
  <Lines>0</Lines>
  <Paragraphs>0</Paragraphs>
  <TotalTime>10</TotalTime>
  <ScaleCrop>false</ScaleCrop>
  <LinksUpToDate>false</LinksUpToDate>
  <CharactersWithSpaces>19158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2023-04-15T03:28:00Z</dcterms:created>
  <dc:creator>Administrator</dc:creator>
  <cp:lastModifiedBy>镆铘</cp:lastModifiedBy>
  <cp:lastPrinted>2023-06-25T02:04:00Z</cp:lastPrinted>
  <dcterms:modified xsi:type="dcterms:W3CDTF">2023-06-26T03:26:17Z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266E7754997F459CA9D28C881F148335_12</vt:lpwstr>
  </property>
</Properties>
</file>